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7E" w:rsidRPr="00B161C6" w:rsidRDefault="00A97B7E" w:rsidP="00B161C6">
      <w:pPr>
        <w:widowControl/>
        <w:spacing w:line="432" w:lineRule="auto"/>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jc w:val="center"/>
        <w:rPr>
          <w:rFonts w:ascii="宋体" w:cs="宋体"/>
          <w:color w:val="333333"/>
          <w:kern w:val="0"/>
          <w:sz w:val="24"/>
          <w:szCs w:val="24"/>
        </w:rPr>
      </w:pPr>
      <w:bookmarkStart w:id="0" w:name="_GoBack"/>
      <w:r w:rsidRPr="00B161C6">
        <w:rPr>
          <w:rFonts w:ascii="宋体" w:hAnsi="宋体" w:cs="宋体" w:hint="eastAsia"/>
          <w:b/>
          <w:bCs/>
          <w:color w:val="333333"/>
          <w:kern w:val="0"/>
          <w:sz w:val="36"/>
          <w:szCs w:val="36"/>
        </w:rPr>
        <w:t>国家教育事业发展“十三五”规划</w:t>
      </w:r>
    </w:p>
    <w:bookmarkEnd w:id="0"/>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“十三五”时期是全面建成小康社会决胜阶段。为加快推进教育现代化，依据《中华人民共和国国民经济和社会发展第十三个五年规划纲要》和《国家中长期教育改革和发展规划纲要（</w:t>
      </w:r>
      <w:r w:rsidRPr="00B161C6">
        <w:rPr>
          <w:rFonts w:ascii="宋体" w:hAnsi="宋体" w:cs="宋体"/>
          <w:color w:val="333333"/>
          <w:kern w:val="0"/>
          <w:sz w:val="24"/>
          <w:szCs w:val="24"/>
        </w:rPr>
        <w:t>2010—2020</w:t>
      </w:r>
      <w:r w:rsidRPr="00B161C6">
        <w:rPr>
          <w:rFonts w:ascii="宋体" w:hAnsi="宋体" w:cs="宋体" w:hint="eastAsia"/>
          <w:color w:val="333333"/>
          <w:kern w:val="0"/>
          <w:sz w:val="24"/>
          <w:szCs w:val="24"/>
        </w:rPr>
        <w:t>年）》（以下简称《教育规划纲要》），制定本规划。</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一、以新理念引领教育现代化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（一）发展环境。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十二五”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作出重要贡献。</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教育总体发展水平进入世界中上行列。</w:t>
      </w:r>
      <w:r w:rsidRPr="00B161C6">
        <w:rPr>
          <w:rFonts w:ascii="宋体" w:hAnsi="宋体" w:cs="宋体" w:hint="eastAsia"/>
          <w:color w:val="333333"/>
          <w:kern w:val="0"/>
          <w:sz w:val="24"/>
          <w:szCs w:val="24"/>
        </w:rPr>
        <w:t>九年义务教育全面普及，进入均衡发展新阶段，学前三年毛入园率提前实现《教育规划纲要》</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教育公平取得重要进展。</w:t>
      </w:r>
      <w:r w:rsidRPr="00B161C6">
        <w:rPr>
          <w:rFonts w:ascii="宋体" w:hAnsi="宋体" w:cs="宋体" w:hint="eastAsia"/>
          <w:color w:val="333333"/>
          <w:kern w:val="0"/>
          <w:sz w:val="24"/>
          <w:szCs w:val="24"/>
        </w:rPr>
        <w:t>城乡和区域教育发展差距进一步缩小，大中城市义务教育阶段“择校热”有所缓解，国家助学制度更加完善，农村义务教育学生营养改善计划深入实施，贫困地区学生的体质健康得到改善，进城务工人员随迁子女、农村留守儿童、残疾学生受教育权利得到更好保障，中西部地区特别是农村学生接受优质高等教育的机会明显增加。</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服务经济社会发展能力显著增强。</w:t>
      </w:r>
      <w:r w:rsidRPr="00B161C6">
        <w:rPr>
          <w:rFonts w:ascii="宋体" w:hAnsi="宋体" w:cs="宋体" w:hint="eastAsia"/>
          <w:color w:val="333333"/>
          <w:kern w:val="0"/>
          <w:sz w:val="24"/>
          <w:szCs w:val="24"/>
        </w:rPr>
        <w:t>职业学校每年输送近</w:t>
      </w:r>
      <w:r w:rsidRPr="00B161C6">
        <w:rPr>
          <w:rFonts w:ascii="宋体" w:hAnsi="宋体" w:cs="宋体"/>
          <w:color w:val="333333"/>
          <w:kern w:val="0"/>
          <w:sz w:val="24"/>
          <w:szCs w:val="24"/>
        </w:rPr>
        <w:t>1000</w:t>
      </w:r>
      <w:r w:rsidRPr="00B161C6">
        <w:rPr>
          <w:rFonts w:ascii="宋体" w:hAnsi="宋体" w:cs="宋体" w:hint="eastAsia"/>
          <w:color w:val="333333"/>
          <w:kern w:val="0"/>
          <w:sz w:val="24"/>
          <w:szCs w:val="24"/>
        </w:rPr>
        <w:t>万名技术技能人才，开展培训上亿人次。普通本科高校累计输送</w:t>
      </w:r>
      <w:r w:rsidRPr="00B161C6">
        <w:rPr>
          <w:rFonts w:ascii="宋体" w:hAnsi="宋体" w:cs="宋体"/>
          <w:color w:val="333333"/>
          <w:kern w:val="0"/>
          <w:sz w:val="24"/>
          <w:szCs w:val="24"/>
        </w:rPr>
        <w:t>2000</w:t>
      </w:r>
      <w:r w:rsidRPr="00B161C6">
        <w:rPr>
          <w:rFonts w:ascii="宋体" w:hAnsi="宋体" w:cs="宋体" w:hint="eastAsia"/>
          <w:color w:val="333333"/>
          <w:kern w:val="0"/>
          <w:sz w:val="24"/>
          <w:szCs w:val="24"/>
        </w:rPr>
        <w:t>多万名专业人才。高等学校牵头承担了一大批国家重大科学研究任务和重大工程项目，产出了一大批服务国家战略、具有国际影响力的标志性研究成果，技术转移和成果转化成效明显。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教育发展能力显著提升。</w:t>
      </w:r>
      <w:r w:rsidRPr="00B161C6">
        <w:rPr>
          <w:rFonts w:ascii="宋体" w:hAnsi="宋体" w:cs="宋体" w:hint="eastAsia"/>
          <w:color w:val="333333"/>
          <w:kern w:val="0"/>
          <w:sz w:val="24"/>
          <w:szCs w:val="24"/>
        </w:rPr>
        <w:t>教育投入实现历史性突破，</w:t>
      </w:r>
      <w:r w:rsidRPr="00B161C6">
        <w:rPr>
          <w:rFonts w:ascii="宋体" w:hAnsi="宋体" w:cs="宋体"/>
          <w:color w:val="333333"/>
          <w:kern w:val="0"/>
          <w:sz w:val="24"/>
          <w:szCs w:val="24"/>
        </w:rPr>
        <w:t>2012</w:t>
      </w:r>
      <w:r w:rsidRPr="00B161C6">
        <w:rPr>
          <w:rFonts w:ascii="宋体" w:hAnsi="宋体" w:cs="宋体" w:hint="eastAsia"/>
          <w:color w:val="333333"/>
          <w:kern w:val="0"/>
          <w:sz w:val="24"/>
          <w:szCs w:val="24"/>
        </w:rPr>
        <w:t>年首次实现国家财政性教育经费占国内生产总值</w:t>
      </w:r>
      <w:r w:rsidRPr="00B161C6">
        <w:rPr>
          <w:rFonts w:ascii="宋体" w:hAnsi="宋体" w:cs="宋体"/>
          <w:color w:val="333333"/>
          <w:kern w:val="0"/>
          <w:sz w:val="24"/>
          <w:szCs w:val="24"/>
        </w:rPr>
        <w:t>4%</w:t>
      </w:r>
      <w:r w:rsidRPr="00B161C6">
        <w:rPr>
          <w:rFonts w:ascii="宋体" w:hAnsi="宋体" w:cs="宋体" w:hint="eastAsia"/>
          <w:color w:val="333333"/>
          <w:kern w:val="0"/>
          <w:sz w:val="24"/>
          <w:szCs w:val="24"/>
        </w:rPr>
        <w:t>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总体来看，《教育规划纲要》确定的阶段性目标如期实现，教育事业发展“十二五”规划圆满收官，我国教育进入提高质量、优化结构、促进公平的新阶段。</w:t>
      </w:r>
    </w:p>
    <w:p w:rsidR="00A97B7E" w:rsidRPr="00B161C6" w:rsidRDefault="00A97B7E" w:rsidP="00B161C6">
      <w:pPr>
        <w:widowControl/>
        <w:spacing w:line="432" w:lineRule="auto"/>
        <w:ind w:firstLine="480"/>
        <w:rPr>
          <w:rFonts w:asci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44"/>
        <w:gridCol w:w="1559"/>
        <w:gridCol w:w="1559"/>
        <w:gridCol w:w="1610"/>
      </w:tblGrid>
      <w:tr w:rsidR="00A97B7E" w:rsidRPr="00EF0B54">
        <w:trPr>
          <w:trHeight w:val="557"/>
          <w:jc w:val="center"/>
        </w:trPr>
        <w:tc>
          <w:tcPr>
            <w:tcW w:w="907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w:t>
            </w:r>
            <w:r w:rsidRPr="00B161C6">
              <w:rPr>
                <w:rFonts w:ascii="宋体" w:hAnsi="宋体" w:cs="Calibri" w:hint="eastAsia"/>
                <w:b/>
                <w:bCs/>
                <w:color w:val="333333"/>
                <w:kern w:val="0"/>
                <w:sz w:val="20"/>
                <w:szCs w:val="20"/>
              </w:rPr>
              <w:t xml:space="preserve">　教育事业发展“十二五”规划主要目标实现情况</w:t>
            </w:r>
          </w:p>
        </w:tc>
      </w:tr>
      <w:tr w:rsidR="00A97B7E" w:rsidRPr="00EF0B54">
        <w:trPr>
          <w:trHeight w:val="37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指　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单　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“十二五”</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规划目标</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b/>
                <w:bCs/>
                <w:color w:val="333333"/>
                <w:kern w:val="0"/>
                <w:sz w:val="20"/>
                <w:szCs w:val="20"/>
              </w:rPr>
              <w:t>2015</w:t>
            </w:r>
            <w:r w:rsidRPr="00B161C6">
              <w:rPr>
                <w:rFonts w:ascii="宋体" w:hAnsi="宋体" w:cs="Calibri" w:hint="eastAsia"/>
                <w:b/>
                <w:bCs/>
                <w:color w:val="333333"/>
                <w:kern w:val="0"/>
                <w:sz w:val="20"/>
                <w:szCs w:val="20"/>
              </w:rPr>
              <w:t>年</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实现情况</w:t>
            </w:r>
          </w:p>
        </w:tc>
      </w:tr>
      <w:tr w:rsidR="00A97B7E" w:rsidRPr="00EF0B54">
        <w:trPr>
          <w:trHeight w:val="772"/>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学前教育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在园幼儿数</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学前三年毛入园率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3700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65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4265</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75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r>
      <w:tr w:rsidR="00A97B7E" w:rsidRPr="00EF0B54">
        <w:trPr>
          <w:trHeight w:val="772"/>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九年义务教育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巩固率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16100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93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14004</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93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r>
      <w:tr w:rsidR="00A97B7E" w:rsidRPr="00EF0B54">
        <w:trPr>
          <w:trHeight w:val="116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高中阶段教育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w:t>
            </w:r>
          </w:p>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其中：中等职业教育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毛入学率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4500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2250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87</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4038</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1657</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87</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r>
      <w:tr w:rsidR="00A97B7E" w:rsidRPr="00EF0B54">
        <w:trPr>
          <w:trHeight w:val="1167"/>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高等教育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在学总规模</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w:t>
            </w:r>
          </w:p>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其中：研究生</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毛入学率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万人</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3350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3080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170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36</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3647</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3452</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191</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40</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r>
      <w:tr w:rsidR="00A97B7E" w:rsidRPr="00EF0B54">
        <w:trPr>
          <w:trHeight w:val="1009"/>
          <w:jc w:val="center"/>
        </w:trPr>
        <w:tc>
          <w:tcPr>
            <w:tcW w:w="43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人力资源开发</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新增劳动力平均受教育年限</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主要劳动年龄人口接受高等教育的比例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年</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3</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3</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16</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9</w:t>
            </w:r>
          </w:p>
        </w:tc>
      </w:tr>
    </w:tbl>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0"/>
          <w:szCs w:val="20"/>
        </w:rPr>
        <w:t>注：</w:t>
      </w:r>
      <w:r w:rsidRPr="00B161C6">
        <w:rPr>
          <w:rFonts w:ascii="宋体" w:hAnsi="宋体" w:cs="宋体"/>
          <w:color w:val="333333"/>
          <w:kern w:val="0"/>
          <w:sz w:val="20"/>
          <w:szCs w:val="20"/>
        </w:rPr>
        <w:t>1.</w:t>
      </w:r>
      <w:r w:rsidRPr="00B161C6">
        <w:rPr>
          <w:rFonts w:ascii="宋体" w:hAnsi="宋体" w:cs="宋体" w:hint="eastAsia"/>
          <w:color w:val="333333"/>
          <w:kern w:val="0"/>
          <w:sz w:val="20"/>
          <w:szCs w:val="20"/>
        </w:rPr>
        <w:t>高等教育在校生含普通本专科、成人本专科和全日制研究生在校生。</w:t>
      </w:r>
      <w:r w:rsidRPr="00B161C6">
        <w:rPr>
          <w:rFonts w:ascii="宋体" w:hAnsi="宋体" w:cs="宋体"/>
          <w:color w:val="333333"/>
          <w:kern w:val="0"/>
          <w:sz w:val="24"/>
          <w:szCs w:val="24"/>
        </w:rPr>
        <w:t xml:space="preserve"> </w:t>
      </w:r>
      <w:r w:rsidRPr="00B161C6">
        <w:rPr>
          <w:rFonts w:ascii="宋体" w:hAnsi="宋体" w:cs="宋体"/>
          <w:color w:val="333333"/>
          <w:kern w:val="0"/>
          <w:sz w:val="24"/>
          <w:szCs w:val="24"/>
        </w:rPr>
        <w:br/>
      </w:r>
      <w:r w:rsidRPr="00B161C6">
        <w:rPr>
          <w:rFonts w:ascii="宋体" w:hAnsi="宋体" w:cs="宋体" w:hint="eastAsia"/>
          <w:color w:val="333333"/>
          <w:kern w:val="0"/>
          <w:sz w:val="24"/>
          <w:szCs w:val="24"/>
        </w:rPr>
        <w:t xml:space="preserve">　　</w:t>
      </w:r>
      <w:r w:rsidRPr="00B161C6">
        <w:rPr>
          <w:rFonts w:ascii="宋体" w:hAnsi="宋体" w:cs="宋体" w:hint="eastAsia"/>
          <w:color w:val="333333"/>
          <w:kern w:val="0"/>
          <w:sz w:val="20"/>
          <w:szCs w:val="20"/>
        </w:rPr>
        <w:t xml:space="preserve">　　</w:t>
      </w:r>
      <w:r w:rsidRPr="00B161C6">
        <w:rPr>
          <w:rFonts w:ascii="宋体" w:hAnsi="宋体" w:cs="宋体"/>
          <w:color w:val="333333"/>
          <w:kern w:val="0"/>
          <w:sz w:val="20"/>
          <w:szCs w:val="20"/>
        </w:rPr>
        <w:t>2.</w:t>
      </w:r>
      <w:r w:rsidRPr="00B161C6">
        <w:rPr>
          <w:rFonts w:ascii="宋体" w:hAnsi="宋体" w:cs="宋体" w:hint="eastAsia"/>
          <w:color w:val="333333"/>
          <w:kern w:val="0"/>
          <w:sz w:val="20"/>
          <w:szCs w:val="20"/>
        </w:rPr>
        <w:t>研究生数为全日制研究生在校生数。</w:t>
      </w:r>
      <w:r w:rsidRPr="00B161C6">
        <w:rPr>
          <w:rFonts w:ascii="宋体" w:hAnsi="宋体" w:cs="宋体"/>
          <w:color w:val="333333"/>
          <w:kern w:val="0"/>
          <w:sz w:val="24"/>
          <w:szCs w:val="24"/>
        </w:rPr>
        <w:t xml:space="preserve"> </w:t>
      </w:r>
      <w:r w:rsidRPr="00B161C6">
        <w:rPr>
          <w:rFonts w:ascii="宋体" w:hAnsi="宋体" w:cs="宋体"/>
          <w:color w:val="333333"/>
          <w:kern w:val="0"/>
          <w:sz w:val="24"/>
          <w:szCs w:val="24"/>
        </w:rPr>
        <w:br/>
      </w:r>
      <w:r w:rsidRPr="00B161C6">
        <w:rPr>
          <w:rFonts w:ascii="宋体" w:hAnsi="宋体" w:cs="宋体" w:hint="eastAsia"/>
          <w:color w:val="333333"/>
          <w:kern w:val="0"/>
          <w:sz w:val="24"/>
          <w:szCs w:val="24"/>
        </w:rPr>
        <w:t xml:space="preserve">　　</w:t>
      </w:r>
      <w:r w:rsidRPr="00B161C6">
        <w:rPr>
          <w:rFonts w:ascii="宋体" w:hAnsi="宋体" w:cs="宋体" w:hint="eastAsia"/>
          <w:color w:val="333333"/>
          <w:kern w:val="0"/>
          <w:sz w:val="20"/>
          <w:szCs w:val="20"/>
        </w:rPr>
        <w:t xml:space="preserve">　　</w:t>
      </w:r>
      <w:r w:rsidRPr="00B161C6">
        <w:rPr>
          <w:rFonts w:ascii="宋体" w:hAnsi="宋体" w:cs="宋体"/>
          <w:color w:val="333333"/>
          <w:kern w:val="0"/>
          <w:sz w:val="20"/>
          <w:szCs w:val="20"/>
        </w:rPr>
        <w:t>3.</w:t>
      </w:r>
      <w:r w:rsidRPr="00B161C6">
        <w:rPr>
          <w:rFonts w:ascii="宋体" w:hAnsi="宋体" w:cs="宋体" w:hint="eastAsia"/>
          <w:color w:val="333333"/>
          <w:kern w:val="0"/>
          <w:sz w:val="20"/>
          <w:szCs w:val="20"/>
        </w:rPr>
        <w:t>主要劳动年龄人口指</w:t>
      </w:r>
      <w:r w:rsidRPr="00B161C6">
        <w:rPr>
          <w:rFonts w:ascii="宋体" w:hAnsi="宋体" w:cs="宋体"/>
          <w:color w:val="333333"/>
          <w:kern w:val="0"/>
          <w:sz w:val="20"/>
          <w:szCs w:val="20"/>
        </w:rPr>
        <w:t>20—59</w:t>
      </w:r>
      <w:r w:rsidRPr="00B161C6">
        <w:rPr>
          <w:rFonts w:ascii="宋体" w:hAnsi="宋体" w:cs="宋体" w:hint="eastAsia"/>
          <w:color w:val="333333"/>
          <w:kern w:val="0"/>
          <w:sz w:val="20"/>
          <w:szCs w:val="20"/>
        </w:rPr>
        <w:t>岁人口。</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十三五”时期，我国发展仍处于可以大有作为的重要战略机遇期，也面临诸多矛盾叠加、风险隐患增多的严峻挑战。有效应对各种风险和挑战，不断开拓发展新境界，对实现教育现代化提出了前所未有的新任务、新要求。</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从国际看，世界多极化、经济全球化、文化多样化、社会信息化深入发展，国际金融危机深层次影响在相当长时期依然存在，新一轮科技革命和产业变革蓄势待发，互联网、云计算、大数据、智能机器人、三维（</w:t>
      </w:r>
      <w:r w:rsidRPr="00B161C6">
        <w:rPr>
          <w:rFonts w:ascii="宋体" w:hAnsi="宋体" w:cs="宋体"/>
          <w:color w:val="333333"/>
          <w:kern w:val="0"/>
          <w:sz w:val="24"/>
          <w:szCs w:val="24"/>
        </w:rPr>
        <w:t>3D</w:t>
      </w:r>
      <w:r w:rsidRPr="00B161C6">
        <w:rPr>
          <w:rFonts w:ascii="宋体" w:hAnsi="宋体" w:cs="宋体" w:hint="eastAsia"/>
          <w:color w:val="333333"/>
          <w:kern w:val="0"/>
          <w:sz w:val="24"/>
          <w:szCs w:val="24"/>
        </w:rPr>
        <w:t>）打印等现代技术深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从国内看，统筹推动“五位一体”总体布局和协调推进“四个全面”战略布局，贯彻落实创新、协调、绿色、开放、共享的新发展理念，实现</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年全面建成小康社会目标，深化供给侧结构性改革，保持经济中高速增长，深入实施创新驱动发展战略，推进大众创业万众创新，实施“中国制造</w:t>
      </w:r>
      <w:r w:rsidRPr="00B161C6">
        <w:rPr>
          <w:rFonts w:ascii="宋体" w:hAnsi="宋体" w:cs="宋体"/>
          <w:color w:val="333333"/>
          <w:kern w:val="0"/>
          <w:sz w:val="24"/>
          <w:szCs w:val="24"/>
        </w:rPr>
        <w:t>2025</w:t>
      </w:r>
      <w:r w:rsidRPr="00B161C6">
        <w:rPr>
          <w:rFonts w:ascii="宋体" w:hAnsi="宋体" w:cs="宋体" w:hint="eastAsia"/>
          <w:color w:val="333333"/>
          <w:kern w:val="0"/>
          <w:sz w:val="24"/>
          <w:szCs w:val="24"/>
        </w:rPr>
        <w:t>”和“一带一路”建设等战略，迫切需要教育优化人才培养结构，加快培养各类紧缺人才。保障基本民生，实现全体人民共同迈入全面小康社会，迫切要求完善基本公共教育服务体系。新型城镇化加快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最基础环节，推进优先发展，提高国家发展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善，多方参与教育治理和评价的体制机制还不健全；教育对外开放的水平不够高；教育优先发展地位需进一步巩固。</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（二）指导思想。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五位一体”总体布局和“四个全面”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作出更大贡献。</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（三）基本原则。</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推进教育改革发展，实现更高质量、更加公平、更有效率、更可持续的发展，完成国家赋予的历史使命和战略任务，必须遵循以下基本原则：</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坚持优先发展。</w:t>
      </w:r>
      <w:r w:rsidRPr="00B161C6">
        <w:rPr>
          <w:rFonts w:ascii="宋体" w:hAnsi="宋体" w:cs="宋体" w:hint="eastAsia"/>
          <w:color w:val="333333"/>
          <w:kern w:val="0"/>
          <w:sz w:val="24"/>
          <w:szCs w:val="24"/>
        </w:rPr>
        <w:t>人是国家发展的核心要素。要坚持把教育摆在优先发展的战略地位，充分发挥教育的基础性、先导性、全局性作用，更加注重教育和人力资源开发，加大投资于人的力度，面向现代化，面向世界，面向未来，超前规划，优先发展，加速人力资本积累，为国家和民族的未来奠基。</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坚持立德树人。</w:t>
      </w:r>
      <w:r w:rsidRPr="00B161C6">
        <w:rPr>
          <w:rFonts w:ascii="宋体" w:hAnsi="宋体" w:cs="宋体" w:hint="eastAsia"/>
          <w:color w:val="333333"/>
          <w:kern w:val="0"/>
          <w:sz w:val="24"/>
          <w:szCs w:val="24"/>
        </w:rPr>
        <w:t>把立德树人作为教育的根本任务，培养德智体美全面发展的社会主义建设者和接班人。要遵循教书育人规律、遵循学生成长规律，以学生为主体，以教师为主导，创新育人模式，培育和践行社会主义核心价值观，不断提高学生思想水平、政治觉悟、道德品质、文化素养，让学生成为德才兼备、全面发展的人才。</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坚持服务导向。</w:t>
      </w:r>
      <w:r w:rsidRPr="00B161C6">
        <w:rPr>
          <w:rFonts w:ascii="宋体" w:hAnsi="宋体" w:cs="宋体" w:hint="eastAsia"/>
          <w:color w:val="333333"/>
          <w:kern w:val="0"/>
          <w:sz w:val="24"/>
          <w:szCs w:val="24"/>
        </w:rPr>
        <w:t>服务国家发展和人民群众是对教育改革发展的基本要求。教育发展要适应中国特色社会主义现代化建设需要，服务全面建成小康社会和中华民族伟大复兴目标，主动适应和引领经济发展新常态，为国家现代化建设厚植人才优势，培育创新动力。要不断满足广大人民群众对更高质量、更为多样教育的需求，优先解决人民群众关心的重点、热点、难点和焦点问题。</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坚持促进公平。</w:t>
      </w:r>
      <w:r w:rsidRPr="00B161C6">
        <w:rPr>
          <w:rFonts w:ascii="宋体" w:hAnsi="宋体" w:cs="宋体" w:hint="eastAsia"/>
          <w:color w:val="333333"/>
          <w:kern w:val="0"/>
          <w:sz w:val="24"/>
          <w:szCs w:val="24"/>
        </w:rPr>
        <w:t>教育的公平性是社会主义本质要求，要发展社会主义，逐步实现人民共同富裕，教育公平是基础。注重有教无类，让全体人民、每个家庭的孩子都有机会接受比较好的教育，让教育改革发展成果更好地惠及最广大人民群众。突出精准扶贫，面向中西部地区特别是边远、贫困地区，加大对家庭经济困难学生帮扶力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坚持改革创新。</w:t>
      </w:r>
      <w:r w:rsidRPr="00B161C6">
        <w:rPr>
          <w:rFonts w:ascii="宋体" w:hAnsi="宋体" w:cs="宋体" w:hint="eastAsia"/>
          <w:color w:val="333333"/>
          <w:kern w:val="0"/>
          <w:sz w:val="24"/>
          <w:szCs w:val="24"/>
        </w:rPr>
        <w:t>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坚持依法治教。</w:t>
      </w:r>
      <w:r w:rsidRPr="00B161C6">
        <w:rPr>
          <w:rFonts w:ascii="宋体" w:hAnsi="宋体" w:cs="宋体" w:hint="eastAsia"/>
          <w:color w:val="333333"/>
          <w:kern w:val="0"/>
          <w:sz w:val="24"/>
          <w:szCs w:val="24"/>
        </w:rPr>
        <w:t>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坚持党的领导。</w:t>
      </w:r>
      <w:r w:rsidRPr="00B161C6">
        <w:rPr>
          <w:rFonts w:ascii="宋体" w:hAnsi="宋体" w:cs="宋体" w:hint="eastAsia"/>
          <w:color w:val="333333"/>
          <w:kern w:val="0"/>
          <w:sz w:val="24"/>
          <w:szCs w:val="24"/>
        </w:rPr>
        <w:t>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（四）主要目标。</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“十三五”时期教育改革发展的总目标是：教育现代化取得重要进展，教育总体实力和国际影响力显著增强，推动我国迈入人力资源强国和人才强国行列，为实现中国教育现代化</w:t>
      </w:r>
      <w:r w:rsidRPr="00B161C6">
        <w:rPr>
          <w:rFonts w:ascii="宋体" w:hAnsi="宋体" w:cs="宋体"/>
          <w:color w:val="333333"/>
          <w:kern w:val="0"/>
          <w:sz w:val="24"/>
          <w:szCs w:val="24"/>
        </w:rPr>
        <w:t>2030</w:t>
      </w:r>
      <w:r w:rsidRPr="00B161C6">
        <w:rPr>
          <w:rFonts w:ascii="宋体" w:hAnsi="宋体" w:cs="宋体" w:hint="eastAsia"/>
          <w:color w:val="333333"/>
          <w:kern w:val="0"/>
          <w:sz w:val="24"/>
          <w:szCs w:val="24"/>
        </w:rPr>
        <w:t>远景目标奠定坚实基础。</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全民终身学习机会进一步扩大。</w:t>
      </w:r>
      <w:r w:rsidRPr="00B161C6">
        <w:rPr>
          <w:rFonts w:ascii="宋体" w:hAnsi="宋体" w:cs="宋体" w:hint="eastAsia"/>
          <w:color w:val="333333"/>
          <w:kern w:val="0"/>
          <w:sz w:val="24"/>
          <w:szCs w:val="24"/>
        </w:rPr>
        <w:t>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教育质量全面提升。</w:t>
      </w:r>
      <w:r w:rsidRPr="00B161C6">
        <w:rPr>
          <w:rFonts w:ascii="宋体" w:hAnsi="宋体" w:cs="宋体" w:hint="eastAsia"/>
          <w:color w:val="333333"/>
          <w:kern w:val="0"/>
          <w:sz w:val="24"/>
          <w:szCs w:val="24"/>
        </w:rPr>
        <w:t>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教育发展成果更公平地惠及全民。</w:t>
      </w:r>
      <w:r w:rsidRPr="00B161C6">
        <w:rPr>
          <w:rFonts w:ascii="宋体" w:hAnsi="宋体" w:cs="宋体" w:hint="eastAsia"/>
          <w:color w:val="333333"/>
          <w:kern w:val="0"/>
          <w:sz w:val="24"/>
          <w:szCs w:val="24"/>
        </w:rPr>
        <w:t>完成教育脱贫攻坚任务，精准扶贫、精准脱贫的效果充分显现。实现家庭经济困难学生资助全覆盖，困难群体、妇女儿童平等受教育权利得到更好保障。义务教育实现基本均衡的县（市、区）比例达到</w:t>
      </w:r>
      <w:r w:rsidRPr="00B161C6">
        <w:rPr>
          <w:rFonts w:ascii="宋体" w:hAnsi="宋体" w:cs="宋体"/>
          <w:color w:val="333333"/>
          <w:kern w:val="0"/>
          <w:sz w:val="24"/>
          <w:szCs w:val="24"/>
        </w:rPr>
        <w:t>95%</w:t>
      </w:r>
      <w:r w:rsidRPr="00B161C6">
        <w:rPr>
          <w:rFonts w:ascii="宋体" w:hAnsi="宋体" w:cs="宋体" w:hint="eastAsia"/>
          <w:color w:val="333333"/>
          <w:kern w:val="0"/>
          <w:sz w:val="24"/>
          <w:szCs w:val="24"/>
        </w:rPr>
        <w:t>，城乡、区域、学校之间差距进一步缩小，建成覆盖城乡、更加均衡的基本公共教育服务体系。人民群众高质量、个性化、多样化的学习需求得到更好满足。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人才供给和高校创新能力明显提升。</w:t>
      </w:r>
      <w:r w:rsidRPr="00B161C6">
        <w:rPr>
          <w:rFonts w:ascii="宋体" w:hAnsi="宋体" w:cs="宋体" w:hint="eastAsia"/>
          <w:color w:val="333333"/>
          <w:kern w:val="0"/>
          <w:sz w:val="24"/>
          <w:szCs w:val="24"/>
        </w:rPr>
        <w:t>创新型、复合型、应用型和技术技能型人才培养比例显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新型智库，创新服务能力全面提升，涌现一批重大创新成果，促进培育新动能，推动文化繁荣和社会进步，增强国家核心竞争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教育体系制度更加成熟定型。</w:t>
      </w:r>
      <w:r w:rsidRPr="00B161C6">
        <w:rPr>
          <w:rFonts w:ascii="宋体" w:hAnsi="宋体" w:cs="宋体" w:hint="eastAsia"/>
          <w:color w:val="333333"/>
          <w:kern w:val="0"/>
          <w:sz w:val="24"/>
          <w:szCs w:val="24"/>
        </w:rPr>
        <w:t>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p w:rsidR="00A97B7E" w:rsidRPr="00B161C6" w:rsidRDefault="00A97B7E" w:rsidP="00B161C6">
      <w:pPr>
        <w:widowControl/>
        <w:spacing w:line="432" w:lineRule="auto"/>
        <w:ind w:firstLine="480"/>
        <w:rPr>
          <w:rFonts w:asci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887"/>
        <w:gridCol w:w="1660"/>
        <w:gridCol w:w="1661"/>
        <w:gridCol w:w="1864"/>
      </w:tblGrid>
      <w:tr w:rsidR="00A97B7E" w:rsidRPr="00EF0B54">
        <w:trPr>
          <w:trHeight w:val="558"/>
          <w:jc w:val="center"/>
        </w:trPr>
        <w:tc>
          <w:tcPr>
            <w:tcW w:w="852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2</w:t>
            </w:r>
            <w:r w:rsidRPr="00B161C6">
              <w:rPr>
                <w:rFonts w:ascii="宋体" w:hAnsi="宋体" w:cs="Calibri" w:hint="eastAsia"/>
                <w:b/>
                <w:bCs/>
                <w:color w:val="333333"/>
                <w:kern w:val="0"/>
                <w:sz w:val="20"/>
                <w:szCs w:val="20"/>
              </w:rPr>
              <w:t xml:space="preserve">　教育事业发展和人力资源开发“十三五”主要目标</w:t>
            </w:r>
          </w:p>
        </w:tc>
      </w:tr>
      <w:tr w:rsidR="00A97B7E" w:rsidRPr="00EF0B54">
        <w:trPr>
          <w:trHeight w:val="410"/>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指　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b/>
                <w:bCs/>
                <w:color w:val="333333"/>
                <w:kern w:val="0"/>
                <w:sz w:val="20"/>
                <w:szCs w:val="20"/>
              </w:rPr>
              <w:t>2015</w:t>
            </w:r>
            <w:r w:rsidRPr="00B161C6">
              <w:rPr>
                <w:rFonts w:ascii="宋体" w:hAnsi="宋体" w:cs="Calibri" w:hint="eastAsia"/>
                <w:b/>
                <w:bCs/>
                <w:color w:val="333333"/>
                <w:kern w:val="0"/>
                <w:sz w:val="20"/>
                <w:szCs w:val="20"/>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b/>
                <w:bCs/>
                <w:color w:val="333333"/>
                <w:kern w:val="0"/>
                <w:sz w:val="20"/>
                <w:szCs w:val="20"/>
              </w:rPr>
              <w:t>2020</w:t>
            </w:r>
            <w:r w:rsidRPr="00B161C6">
              <w:rPr>
                <w:rFonts w:ascii="宋体" w:hAnsi="宋体" w:cs="Calibri" w:hint="eastAsia"/>
                <w:b/>
                <w:bCs/>
                <w:color w:val="333333"/>
                <w:kern w:val="0"/>
                <w:sz w:val="20"/>
                <w:szCs w:val="20"/>
              </w:rPr>
              <w:t>年</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属　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学前教育</w:t>
            </w:r>
          </w:p>
          <w:p w:rsidR="00A97B7E" w:rsidRPr="00B161C6" w:rsidRDefault="00A97B7E" w:rsidP="00B161C6">
            <w:pPr>
              <w:widowControl/>
              <w:spacing w:line="480" w:lineRule="auto"/>
              <w:ind w:left="199"/>
              <w:rPr>
                <w:rFonts w:cs="Calibri"/>
                <w:color w:val="333333"/>
                <w:kern w:val="0"/>
                <w:szCs w:val="21"/>
              </w:rPr>
            </w:pPr>
            <w:r w:rsidRPr="00B161C6">
              <w:rPr>
                <w:rFonts w:ascii="宋体" w:hAnsi="宋体" w:cs="Calibri" w:hint="eastAsia"/>
                <w:color w:val="333333"/>
                <w:kern w:val="0"/>
                <w:sz w:val="20"/>
                <w:szCs w:val="20"/>
              </w:rPr>
              <w:t>在园幼儿数（万人）</w:t>
            </w:r>
          </w:p>
          <w:p w:rsidR="00A97B7E" w:rsidRPr="00B161C6" w:rsidRDefault="00A97B7E" w:rsidP="00B161C6">
            <w:pPr>
              <w:widowControl/>
              <w:spacing w:line="480" w:lineRule="auto"/>
              <w:ind w:left="199"/>
              <w:rPr>
                <w:rFonts w:cs="Calibri"/>
                <w:color w:val="333333"/>
                <w:kern w:val="0"/>
                <w:szCs w:val="21"/>
              </w:rPr>
            </w:pPr>
            <w:r w:rsidRPr="00B161C6">
              <w:rPr>
                <w:rFonts w:ascii="宋体" w:hAnsi="宋体" w:cs="Calibri" w:hint="eastAsia"/>
                <w:color w:val="333333"/>
                <w:kern w:val="0"/>
                <w:sz w:val="20"/>
                <w:szCs w:val="20"/>
              </w:rPr>
              <w:t>学前三年毛入园率（</w:t>
            </w:r>
            <w:r w:rsidRPr="00B161C6">
              <w:rPr>
                <w:rFonts w:cs="Calibri"/>
                <w:color w:val="333333"/>
                <w:kern w:val="0"/>
                <w:sz w:val="20"/>
                <w:szCs w:val="20"/>
              </w:rPr>
              <w:t>%</w:t>
            </w:r>
            <w:r w:rsidRPr="00B161C6">
              <w:rPr>
                <w:rFonts w:ascii="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4265</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75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4500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85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九年义务教育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在校生（万人）</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巩固率（</w:t>
            </w:r>
            <w:r w:rsidRPr="00B161C6">
              <w:rPr>
                <w:rFonts w:cs="Calibri"/>
                <w:color w:val="333333"/>
                <w:kern w:val="0"/>
                <w:sz w:val="20"/>
                <w:szCs w:val="20"/>
              </w:rPr>
              <w:t>%</w:t>
            </w:r>
            <w:r w:rsidRPr="00B161C6">
              <w:rPr>
                <w:rFonts w:ascii="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14004</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93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15000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95</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约束性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高中阶段教育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在校生（万人）</w:t>
            </w:r>
          </w:p>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其中：中等职业教育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毛入学率（</w:t>
            </w:r>
            <w:r w:rsidRPr="00B161C6">
              <w:rPr>
                <w:rFonts w:cs="Calibri"/>
                <w:color w:val="333333"/>
                <w:kern w:val="0"/>
                <w:sz w:val="20"/>
                <w:szCs w:val="20"/>
              </w:rPr>
              <w:t>%</w:t>
            </w:r>
            <w:r w:rsidRPr="00B161C6">
              <w:rPr>
                <w:rFonts w:ascii="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4038</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1657</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87</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4130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1870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90</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 xml:space="preserve">0 </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高等教育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在学总规模（万人）</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在校生（万人）</w:t>
            </w:r>
          </w:p>
          <w:p w:rsidR="00A97B7E" w:rsidRPr="00B161C6" w:rsidRDefault="00A97B7E" w:rsidP="00B161C6">
            <w:pPr>
              <w:widowControl/>
              <w:spacing w:line="480" w:lineRule="auto"/>
              <w:ind w:left="999" w:hanging="600"/>
              <w:rPr>
                <w:rFonts w:cs="Calibri"/>
                <w:color w:val="333333"/>
                <w:kern w:val="0"/>
                <w:szCs w:val="21"/>
              </w:rPr>
            </w:pPr>
            <w:r w:rsidRPr="00B161C6">
              <w:rPr>
                <w:rFonts w:ascii="宋体" w:hAnsi="宋体" w:cs="Calibri" w:hint="eastAsia"/>
                <w:color w:val="333333"/>
                <w:kern w:val="0"/>
                <w:sz w:val="20"/>
                <w:szCs w:val="20"/>
              </w:rPr>
              <w:t>其中：研究生（万人）（含全日制和非全日制研究生）</w:t>
            </w:r>
          </w:p>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其中：普通本专科（万人）</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毛入学率（</w:t>
            </w:r>
            <w:r w:rsidRPr="00B161C6">
              <w:rPr>
                <w:rFonts w:cs="Calibri"/>
                <w:color w:val="333333"/>
                <w:kern w:val="0"/>
                <w:sz w:val="20"/>
                <w:szCs w:val="20"/>
              </w:rPr>
              <w:t>%</w:t>
            </w:r>
            <w:r w:rsidRPr="00B161C6">
              <w:rPr>
                <w:rFonts w:ascii="宋体" w:hAnsi="宋体" w:cs="Calibri" w:hint="eastAsia"/>
                <w:color w:val="333333"/>
                <w:kern w:val="0"/>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3647</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3511</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250</w:t>
            </w:r>
            <w:r w:rsidRPr="00B161C6">
              <w:rPr>
                <w:rFonts w:ascii="宋体" w:hAnsi="宋体" w:cs="Calibri" w:hint="eastAsia"/>
                <w:color w:val="333333"/>
                <w:kern w:val="0"/>
                <w:sz w:val="20"/>
                <w:szCs w:val="20"/>
              </w:rPr>
              <w:t>［</w:t>
            </w:r>
            <w:r w:rsidRPr="00B161C6">
              <w:rPr>
                <w:rFonts w:cs="Calibri"/>
                <w:color w:val="333333"/>
                <w:kern w:val="0"/>
                <w:sz w:val="20"/>
                <w:szCs w:val="20"/>
              </w:rPr>
              <w:t>191</w:t>
            </w:r>
            <w:r w:rsidRPr="00B161C6">
              <w:rPr>
                <w:rFonts w:ascii="宋体" w:hAnsi="宋体" w:cs="Calibri" w:hint="eastAsia"/>
                <w:color w:val="333333"/>
                <w:kern w:val="0"/>
                <w:sz w:val="20"/>
                <w:szCs w:val="20"/>
              </w:rPr>
              <w:t>］</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2625</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40</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3850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3680</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290</w:t>
            </w:r>
            <w:r w:rsidRPr="00B161C6">
              <w:rPr>
                <w:rFonts w:ascii="宋体" w:hAnsi="宋体" w:cs="Calibri" w:hint="eastAsia"/>
                <w:color w:val="333333"/>
                <w:kern w:val="0"/>
                <w:sz w:val="20"/>
                <w:szCs w:val="20"/>
              </w:rPr>
              <w:t>［</w:t>
            </w:r>
            <w:r w:rsidRPr="00B161C6">
              <w:rPr>
                <w:rFonts w:cs="Calibri"/>
                <w:color w:val="333333"/>
                <w:kern w:val="0"/>
                <w:sz w:val="20"/>
                <w:szCs w:val="20"/>
              </w:rPr>
              <w:t>230</w:t>
            </w:r>
            <w:r w:rsidRPr="00B161C6">
              <w:rPr>
                <w:rFonts w:ascii="宋体" w:hAnsi="宋体" w:cs="Calibri" w:hint="eastAsia"/>
                <w:color w:val="333333"/>
                <w:kern w:val="0"/>
                <w:sz w:val="20"/>
                <w:szCs w:val="20"/>
              </w:rPr>
              <w:t>］</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2655</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50</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继续教育</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从业人员继续教育（万人次）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35000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tc>
      </w:tr>
      <w:tr w:rsidR="00A97B7E" w:rsidRPr="00EF0B54">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人力资源开发</w:t>
            </w:r>
          </w:p>
          <w:p w:rsidR="00A97B7E" w:rsidRPr="00B161C6" w:rsidRDefault="00A97B7E" w:rsidP="00B161C6">
            <w:pPr>
              <w:widowControl/>
              <w:spacing w:line="480" w:lineRule="auto"/>
              <w:ind w:firstLine="200"/>
              <w:rPr>
                <w:rFonts w:cs="Calibri"/>
                <w:color w:val="333333"/>
                <w:kern w:val="0"/>
                <w:szCs w:val="21"/>
              </w:rPr>
            </w:pPr>
            <w:r w:rsidRPr="00B161C6">
              <w:rPr>
                <w:rFonts w:ascii="宋体" w:hAnsi="宋体" w:cs="Calibri" w:hint="eastAsia"/>
                <w:color w:val="333333"/>
                <w:kern w:val="0"/>
                <w:sz w:val="20"/>
                <w:szCs w:val="20"/>
              </w:rPr>
              <w:t>新增劳动力平均受教育年限（年）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13</w:t>
            </w:r>
            <w:r w:rsidRPr="00B161C6">
              <w:rPr>
                <w:rFonts w:ascii="MingLiU_HKSCS" w:eastAsia="MingLiU_HKSCS" w:hAnsi="MingLiU_HKSCS" w:cs="Calibri"/>
                <w:color w:val="333333"/>
                <w:kern w:val="0"/>
                <w:sz w:val="20"/>
                <w:szCs w:val="20"/>
              </w:rPr>
              <w:t>.</w:t>
            </w:r>
            <w:r w:rsidRPr="00B161C6">
              <w:rPr>
                <w:rFonts w:cs="Calibri"/>
                <w:color w:val="333333"/>
                <w:kern w:val="0"/>
                <w:sz w:val="20"/>
                <w:szCs w:val="20"/>
              </w:rPr>
              <w:t>5</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cs="Calibri"/>
                <w:color w:val="333333"/>
                <w:kern w:val="0"/>
                <w:sz w:val="20"/>
                <w:szCs w:val="20"/>
              </w:rPr>
              <w:t> </w:t>
            </w:r>
          </w:p>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color w:val="333333"/>
                <w:kern w:val="0"/>
                <w:sz w:val="20"/>
                <w:szCs w:val="20"/>
              </w:rPr>
              <w:t>预期性</w:t>
            </w:r>
          </w:p>
        </w:tc>
      </w:tr>
    </w:tbl>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0"/>
          <w:szCs w:val="20"/>
        </w:rPr>
        <w:t>注：</w:t>
      </w:r>
      <w:r w:rsidRPr="00B161C6">
        <w:rPr>
          <w:rFonts w:ascii="宋体" w:hAnsi="宋体" w:cs="宋体"/>
          <w:color w:val="333333"/>
          <w:kern w:val="0"/>
          <w:sz w:val="20"/>
          <w:szCs w:val="20"/>
        </w:rPr>
        <w:t>1.</w:t>
      </w:r>
      <w:r w:rsidRPr="00B161C6">
        <w:rPr>
          <w:rFonts w:ascii="宋体" w:hAnsi="宋体" w:cs="宋体" w:hint="eastAsia"/>
          <w:color w:val="333333"/>
          <w:kern w:val="0"/>
          <w:sz w:val="20"/>
          <w:szCs w:val="20"/>
        </w:rPr>
        <w:t>高等教育在校生含普通本专科、成人本专科、全日制和非全日制研究生在校生。</w:t>
      </w:r>
      <w:r w:rsidRPr="00B161C6">
        <w:rPr>
          <w:rFonts w:ascii="宋体" w:hAnsi="宋体" w:cs="宋体"/>
          <w:color w:val="333333"/>
          <w:kern w:val="0"/>
          <w:sz w:val="24"/>
          <w:szCs w:val="24"/>
        </w:rPr>
        <w:t xml:space="preserve"> </w:t>
      </w:r>
      <w:r w:rsidRPr="00B161C6">
        <w:rPr>
          <w:rFonts w:ascii="宋体" w:hAnsi="宋体" w:cs="宋体"/>
          <w:color w:val="333333"/>
          <w:kern w:val="0"/>
          <w:sz w:val="24"/>
          <w:szCs w:val="24"/>
        </w:rPr>
        <w:br/>
      </w:r>
      <w:r w:rsidRPr="00B161C6">
        <w:rPr>
          <w:rFonts w:ascii="宋体" w:hAnsi="宋体" w:cs="宋体" w:hint="eastAsia"/>
          <w:color w:val="333333"/>
          <w:kern w:val="0"/>
          <w:sz w:val="24"/>
          <w:szCs w:val="24"/>
        </w:rPr>
        <w:t xml:space="preserve">　　</w:t>
      </w:r>
      <w:r w:rsidRPr="00B161C6">
        <w:rPr>
          <w:rFonts w:ascii="宋体" w:hAnsi="宋体" w:cs="宋体" w:hint="eastAsia"/>
          <w:color w:val="333333"/>
          <w:kern w:val="0"/>
          <w:sz w:val="20"/>
          <w:szCs w:val="20"/>
        </w:rPr>
        <w:t xml:space="preserve">　　</w:t>
      </w:r>
      <w:r w:rsidRPr="00B161C6">
        <w:rPr>
          <w:rFonts w:ascii="宋体" w:hAnsi="宋体" w:cs="宋体"/>
          <w:color w:val="333333"/>
          <w:kern w:val="0"/>
          <w:sz w:val="20"/>
          <w:szCs w:val="20"/>
        </w:rPr>
        <w:t>2.</w:t>
      </w:r>
      <w:r w:rsidRPr="00B161C6">
        <w:rPr>
          <w:rFonts w:ascii="宋体" w:hAnsi="宋体" w:cs="宋体" w:hint="eastAsia"/>
          <w:color w:val="333333"/>
          <w:kern w:val="0"/>
          <w:sz w:val="20"/>
          <w:szCs w:val="20"/>
        </w:rPr>
        <w:t>［　］内为全日制研究生在校生数。</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（五）主题主线。</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贯彻落实新发展理念，全面实现“十三五”时期教育改革发展目标，必须紧紧围绕全面提高教育质量这个主题，把立德树人作为根本任务，全面实施素质教育，积极培育和践行社会主义核心价值观，更新育人理念，创新育人方式，改善育人生态，提高教师素质，建立健全各级各类教育质量保障体系，全面提升育人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必须把教育的结构性改革作为主线，主动适应经济社会发展和人民群众的需求。统筹利用好、布局好各类教育资源，突出保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扩大社会参与，提高教育开放水平，整体提升教育服务经济社会发展的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二、全面落实立德树人根本任务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（一）提升学生思想道德水平。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把思想政治工作贯穿教育教学全过程。加强系统谋划和顶层设计，以社会主义核心价值观为引领，科学制定不同年龄阶段和各级各类教育的德育工作目标，实现全员育人、全过程育人、全方位育人。充分发挥品德课、思想政治理论课主渠道作用，深入挖掘课程教材的育人作用，系统推进课程改革和教材修订，推动中国特色社会主义理论体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践行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使社会主义核心价值观内化于心、外化于行。</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努力增强学生社会责任感。协同加强青少年社会公德、职业道德、家庭美德教育，努力培养学生高尚品格和担当精神。引导学生以国家富强、人民幸福为己任，树立自觉投身于中国特色社会主义伟大实践的宏伟志向。</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积极开展法治教育。落实《青少年法治教育大纲》，把法治教育纳入国民教育体系，在中小学设立法治知识课程。加强法治教育实践基地建设，加强宪法教育，多种形式普及法律知识，开展法治实践教育，培养学生的法治意识和素养。</w:t>
      </w:r>
    </w:p>
    <w:p w:rsidR="00A97B7E" w:rsidRPr="00B161C6" w:rsidRDefault="00A97B7E" w:rsidP="00B161C6">
      <w:pPr>
        <w:widowControl/>
        <w:spacing w:line="432" w:lineRule="auto"/>
        <w:ind w:firstLine="480"/>
        <w:rPr>
          <w:rFonts w:asci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072"/>
      </w:tblGrid>
      <w:tr w:rsidR="00A97B7E" w:rsidRPr="00EF0B54">
        <w:trPr>
          <w:trHeight w:val="557"/>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3</w:t>
            </w:r>
            <w:r w:rsidRPr="00B161C6">
              <w:rPr>
                <w:rFonts w:ascii="宋体" w:hAnsi="宋体" w:cs="Calibri" w:hint="eastAsia"/>
                <w:b/>
                <w:bCs/>
                <w:color w:val="333333"/>
                <w:kern w:val="0"/>
                <w:sz w:val="20"/>
                <w:szCs w:val="20"/>
              </w:rPr>
              <w:t xml:space="preserve">　落实立德树人根本任务</w:t>
            </w:r>
          </w:p>
        </w:tc>
      </w:tr>
      <w:tr w:rsidR="00A97B7E" w:rsidRPr="00EF0B54">
        <w:trPr>
          <w:trHeight w:val="2961"/>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全面构建“全员育人、全过程育人、全方位育人”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（二）培养学生创新创业精神与能力。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（三）强化学生实践动手能力。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践行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鼓励有条件的地区开展中小学生研学旅行和各种形式的夏令营、冬令营活动。建设一批具有良好示范带动作用的研学旅游基地和目的地。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（四）塑造学生强健体魄。</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（五）提高学生文化修养。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坚持以美育人、以文化人。以提高学生艺术素养、陶冶高尚情操、培育深厚民族情感、激发创新意识为导向，构建科学的美育课程体系，改进学校美育教学，鼓励特色发展，统筹整合学校与社会美育资源，健全美育评价机制，推动开齐开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（六）增强学生生态文明素养。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持续发展理念、知识和能力，践行勤俭节约、绿色低碳、文明健康的生活方式，引领社会绿色风尚。</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（七）提高学生综合国防素质。</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三、改革创新驱动教育发展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（一）着力推进教育教学改革。</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基础教育课程与教学改革。加强对课程教材建设的顶层设计，修订国家基础教育课程方案和课程标准，体现学生发展核心素养要求，完善教材审查审定和使用监测制度，打造具有科学性、时代性、民族性的基础教育课程教材体系。全面开展课程实施监测和管理。支持有条件的地方推行小班化教学，鼓励普通高中实行“选课制”、“走班制”，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w:t>
      </w:r>
      <w:r w:rsidRPr="00B161C6">
        <w:rPr>
          <w:rFonts w:ascii="宋体" w:hAnsi="宋体" w:cs="宋体"/>
          <w:color w:val="333333"/>
          <w:kern w:val="0"/>
          <w:sz w:val="24"/>
          <w:szCs w:val="24"/>
        </w:rPr>
        <w:t>3—6</w:t>
      </w:r>
      <w:r w:rsidRPr="00B161C6">
        <w:rPr>
          <w:rFonts w:ascii="宋体" w:hAnsi="宋体" w:cs="宋体" w:hint="eastAsia"/>
          <w:color w:val="333333"/>
          <w:kern w:val="0"/>
          <w:sz w:val="24"/>
          <w:szCs w:val="24"/>
        </w:rPr>
        <w:t>岁儿童学习与发展指南》，坚持以游戏为基本活动，培养幼儿健康体魄、良好生活与行为习惯，促进幼儿身心和谐发展。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行产教融合的职业教育模式。坚持面向市场、服务发展、促进就业的办学方向，科学确定各层次各类型职业教育培养目标，创新技术技能人才培养模式。推行校企一体化育人，推进“订单式”培养、工学交替培养，积极推动校企联合招生、联合培养的现代学徒制。率先在大中型企业开展产教融合试点，推动行业企业与学校共建人才培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岗位资格认证等方面的标准制定和教学评价。积极推行“双证书”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双导师”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（二）深化考试招生制度改革。</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大高校考试招生制度改革实施力度。积极创造条件，稳妥推进普通高校考试招生制度综合改革试点，逐步在全国推广实施高考综合改革方案，探索基于统一高考和高中学业水平考试成绩、参考综合素质评价的多元录取机制。完善高中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推进高职院校分类考试，突出“文化素质</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职业技能”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（三）激发学校办学活力。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现代大学制度和各类学校管理制度建设。全面落实“一校一章程”。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进一步明确职责分工、议事规则。深化学校管理人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（四）统筹推进世界一流大学和一流学科建设。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创新建设机制，鼓励公平竞争，强化目标管理，增强建设实效。创新支持方式，综合考虑建设高校基础、学科类别及发展水平等，通过不同途径给予相应经费支持，动员各方力量积极参与一流大学和一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w:t>
      </w:r>
      <w:r w:rsidRPr="00B161C6">
        <w:rPr>
          <w:rFonts w:ascii="宋体" w:hAnsi="宋体" w:cs="宋体"/>
          <w:color w:val="333333"/>
          <w:kern w:val="0"/>
          <w:sz w:val="24"/>
          <w:szCs w:val="24"/>
        </w:rPr>
        <w:t>2011</w:t>
      </w:r>
      <w:r w:rsidRPr="00B161C6">
        <w:rPr>
          <w:rFonts w:ascii="宋体" w:hAnsi="宋体" w:cs="宋体" w:hint="eastAsia"/>
          <w:color w:val="333333"/>
          <w:kern w:val="0"/>
          <w:sz w:val="24"/>
          <w:szCs w:val="24"/>
        </w:rPr>
        <w:t>计划”）组织实施方式，推动高校面向国家重大需求多学科交叉融合、校所企协同创新。</w:t>
      </w:r>
    </w:p>
    <w:p w:rsidR="00A97B7E" w:rsidRPr="00B161C6" w:rsidRDefault="00A97B7E" w:rsidP="00B161C6">
      <w:pPr>
        <w:widowControl/>
        <w:spacing w:line="432" w:lineRule="auto"/>
        <w:ind w:firstLine="480"/>
        <w:rPr>
          <w:rFonts w:ascii="宋体" w:cs="宋体"/>
          <w:color w:val="333333"/>
          <w:kern w:val="0"/>
          <w:sz w:val="24"/>
          <w:szCs w:val="24"/>
        </w:rPr>
      </w:pP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072"/>
      </w:tblGrid>
      <w:tr w:rsidR="00A97B7E" w:rsidRPr="00EF0B54">
        <w:trPr>
          <w:trHeight w:val="558"/>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4</w:t>
            </w:r>
            <w:r w:rsidRPr="00B161C6">
              <w:rPr>
                <w:rFonts w:ascii="宋体" w:hAnsi="宋体" w:cs="Calibri" w:hint="eastAsia"/>
                <w:b/>
                <w:bCs/>
                <w:color w:val="333333"/>
                <w:kern w:val="0"/>
                <w:sz w:val="20"/>
                <w:szCs w:val="20"/>
              </w:rPr>
              <w:t xml:space="preserve">　世界一流大学和一流学科建设</w:t>
            </w:r>
          </w:p>
        </w:tc>
      </w:tr>
      <w:tr w:rsidR="00A97B7E" w:rsidRPr="00EF0B54">
        <w:trPr>
          <w:trHeight w:val="3953"/>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B7E" w:rsidRPr="00B161C6" w:rsidRDefault="00A97B7E" w:rsidP="00B161C6">
            <w:pPr>
              <w:widowControl/>
              <w:spacing w:line="480" w:lineRule="auto"/>
              <w:ind w:firstLine="400"/>
              <w:rPr>
                <w:rFonts w:cs="Calibri"/>
                <w:color w:val="333333"/>
                <w:kern w:val="0"/>
                <w:szCs w:val="21"/>
              </w:rPr>
            </w:pPr>
            <w:r w:rsidRPr="00B161C6">
              <w:rPr>
                <w:rFonts w:ascii="宋体" w:hAnsi="宋体" w:cs="Calibri" w:hint="eastAsia"/>
                <w:color w:val="333333"/>
                <w:kern w:val="0"/>
                <w:sz w:val="20"/>
                <w:szCs w:val="20"/>
              </w:rPr>
              <w:t>加强总体规划，引导分类发展，科学合理布局，坚持扶优扶新、扶需扶特，支持处于国内领先地位、在国际上具有较强竞争力、对经济社会发展具有重大作用、具备进入世界一流行列或前列基础和实力的大学，支持建设</w:t>
            </w:r>
            <w:r w:rsidRPr="00B161C6">
              <w:rPr>
                <w:rFonts w:cs="Calibri"/>
                <w:color w:val="333333"/>
                <w:kern w:val="0"/>
                <w:sz w:val="20"/>
                <w:szCs w:val="20"/>
              </w:rPr>
              <w:t>100</w:t>
            </w:r>
            <w:r w:rsidRPr="00B161C6">
              <w:rPr>
                <w:rFonts w:ascii="宋体" w:hAnsi="宋体" w:cs="Calibri" w:hint="eastAsia"/>
                <w:color w:val="333333"/>
                <w:kern w:val="0"/>
                <w:sz w:val="20"/>
                <w:szCs w:val="20"/>
              </w:rPr>
              <w:t>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提升高等学校创新能力。围绕国家发展重大需求，按照“国家急需、世界一流、制度先进、贡献突出”的总体要求，创新体制机制，深化高校与高校、科研院所、行业企业和国外科研机构的合作，汇聚创新资源和要素，构建协同创新的新模式，全面提升高等学校的人才、学科、科研三位一体创新能力，抢占世界科技创新制高点。</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（五）强化高校创新体系建设。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杀手锏”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建立健全教师在岗兼职、离岗创业等制度。设置特定的创新科研岗位，聘用海外学者、国内同行和研究生，组织科学创新团队。改革科研评价制度，建立以创新质量、贡献、绩效为导向的分类评价体系。完善同行专家遴选机制和专家库，加强评价专家的自律和责任追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理政新理念新思想新战略的研究阐释，深入开展重大现实问题、重大理论问题、重大实践经验总结研究。积极参与实施国家哲学社会科学人才工程，加大相关人才计划对哲学社会科学人才的支持力度。完善高校哲学社会科学研究创新平台体系，加强高校马克思主义学院建设，重点建好一批高校人文社会科学重点研究基地、专题数据库和文科实验室。推进中国特色新型高校智库建设。加强国别和区域重点研究基地建设。支持高校建立海外中国学术研究中心，参与和设立国际性学术组织，建设一批优秀外文学术网站和学术期刊。</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5</w:t>
            </w:r>
            <w:r w:rsidRPr="00B161C6">
              <w:rPr>
                <w:rFonts w:ascii="宋体" w:hAnsi="宋体" w:cs="Calibri" w:hint="eastAsia"/>
                <w:b/>
                <w:bCs/>
                <w:color w:val="333333"/>
                <w:kern w:val="0"/>
                <w:sz w:val="20"/>
                <w:szCs w:val="20"/>
              </w:rPr>
              <w:t xml:space="preserve">　中国特色新型高校智库建设推进计划</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统筹规划高校各类科研机构、人才团队和项目设置，建立形式多样、结构合理的高校智库。深化高校人文社会科学重点研究基地综合改革，重点建设一批国家急需、特色鲜明、制度创新、引领发展的专业化高端智库。建立咨政研究核心人才库，培养一批复合型智库人才和咨政研究团队。拓展成果应用渠道，支持高校举办高层智库论坛，打造智库成果发布品牌。</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知识产权保护、应用的有效机制，推动建立完善有利于科技成果转化的评价体系。建好一批大学科技园、产业创意园和试验区，孵化和扶植一批科技与文化骨干企业。</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（六）促进和规范民办教育发展。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结构，健全收费制度、资产管理和财务会计制度，建立教育质量监测、财务监管、风险防控和退出机制，规范民办学校办学秩序，防范办学风险。</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（七）积极发展“互联网</w:t>
      </w:r>
      <w:r w:rsidRPr="00B161C6">
        <w:rPr>
          <w:rFonts w:ascii="楷体" w:eastAsia="楷体" w:hAnsi="楷体" w:cs="宋体"/>
          <w:color w:val="333333"/>
          <w:kern w:val="0"/>
          <w:sz w:val="24"/>
          <w:szCs w:val="24"/>
        </w:rPr>
        <w:t>+</w:t>
      </w:r>
      <w:r w:rsidRPr="00B161C6">
        <w:rPr>
          <w:rFonts w:ascii="楷体" w:eastAsia="楷体" w:hAnsi="楷体" w:cs="宋体" w:hint="eastAsia"/>
          <w:color w:val="333333"/>
          <w:kern w:val="0"/>
          <w:sz w:val="24"/>
          <w:szCs w:val="24"/>
        </w:rPr>
        <w:t>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完善制度环境。制定在线教育和数字教育资源质量标准，推动建立数字教育资源的准入和监管机制，完善数字教育资源知识产权保护机制，鼓励企业和其他社会力量开发数字教育资源，形成公平有序的市场环境，培育社会化的数字教育资源服务市场，探索建立“互联网</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教育”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进一步改善基础条件。加快推进“宽带网络校校通”，完善学校教育信息化基础设施，加强“无线校园”建设，基本实现各级各类学校宽带网络全覆盖和网络教学环境的普及，具备条件的城镇学校实现无线网络全覆盖，鼓励具备条件的学校配置师生用教学终端。完善国家教育资源公共服务平台，推动形成覆盖全国、互联互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台，实现各类数据伴随式收集和集成化管理，形成支撑教育教学和管理的教育云服务体系。推动职业学校网络仿真实训环境建设。推动高校建立基于互联网、云计算技术的科研协作平台。</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全力推动信息技术与教育教学深度融合。建设课程教学与应用服务有机结合的优质在线开放课程和资源库，全面推进“优质资源班班通”，鼓励教师利用信息技术提升教学水平、创新教学模式，利用翻转课堂、混合式教学等多种方式用好优质数字资源。深入推进“网络学习空间人人通”，形成线上线下有机结合的网络化泛在学习新模式。引导学校与教师依托网络学习空间记录学生学习过程，进行教学综合分析，创新教学管理方式。鼓励学校利用大数据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优质教育资源共建共享。着力加强“名师课堂”、“名校网络课堂”、“专递课堂”、“在线开放课程”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6</w:t>
            </w:r>
            <w:r w:rsidRPr="00B161C6">
              <w:rPr>
                <w:rFonts w:ascii="宋体" w:hAnsi="宋体" w:cs="Calibri" w:hint="eastAsia"/>
                <w:b/>
                <w:bCs/>
                <w:color w:val="333333"/>
                <w:kern w:val="0"/>
                <w:sz w:val="20"/>
                <w:szCs w:val="20"/>
              </w:rPr>
              <w:t xml:space="preserve">　推进“互联网</w:t>
            </w:r>
            <w:r w:rsidRPr="00B161C6">
              <w:rPr>
                <w:rFonts w:cs="Calibri"/>
                <w:b/>
                <w:bCs/>
                <w:color w:val="333333"/>
                <w:kern w:val="0"/>
                <w:sz w:val="20"/>
                <w:szCs w:val="20"/>
              </w:rPr>
              <w:t>+</w:t>
            </w:r>
            <w:r w:rsidRPr="00B161C6">
              <w:rPr>
                <w:rFonts w:ascii="宋体" w:hAnsi="宋体" w:cs="Calibri" w:hint="eastAsia"/>
                <w:b/>
                <w:bCs/>
                <w:color w:val="333333"/>
                <w:kern w:val="0"/>
                <w:sz w:val="20"/>
                <w:szCs w:val="20"/>
              </w:rPr>
              <w:t>教育”发展</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继续推进“三通两平台”建设与应用，推进数字教育资源普遍开放共享。面向教育发展落后地区和特殊人群，提供公益性数字教育资源服务。加快教育大数据建设与开放共享。发展现代远程教育和在线教育，实施“互联网</w:t>
            </w:r>
            <w:r w:rsidRPr="00B161C6">
              <w:rPr>
                <w:rFonts w:cs="Calibri"/>
                <w:color w:val="333333"/>
                <w:kern w:val="0"/>
                <w:sz w:val="20"/>
                <w:szCs w:val="20"/>
              </w:rPr>
              <w:t>+</w:t>
            </w:r>
            <w:r w:rsidRPr="00B161C6">
              <w:rPr>
                <w:rFonts w:ascii="宋体" w:hAnsi="宋体" w:cs="Calibri" w:hint="eastAsia"/>
                <w:color w:val="333333"/>
                <w:kern w:val="0"/>
                <w:sz w:val="20"/>
                <w:szCs w:val="20"/>
              </w:rPr>
              <w:t>教育培训”行动，支持“互联网</w:t>
            </w:r>
            <w:r w:rsidRPr="00B161C6">
              <w:rPr>
                <w:rFonts w:cs="Calibri"/>
                <w:color w:val="333333"/>
                <w:kern w:val="0"/>
                <w:sz w:val="20"/>
                <w:szCs w:val="20"/>
              </w:rPr>
              <w:t>+</w:t>
            </w:r>
            <w:r w:rsidRPr="00B161C6">
              <w:rPr>
                <w:rFonts w:ascii="宋体" w:hAnsi="宋体" w:cs="Calibri" w:hint="eastAsia"/>
                <w:color w:val="333333"/>
                <w:kern w:val="0"/>
                <w:sz w:val="20"/>
                <w:szCs w:val="20"/>
              </w:rPr>
              <w:t>教育”教学新模式，发展“互联网</w:t>
            </w:r>
            <w:r w:rsidRPr="00B161C6">
              <w:rPr>
                <w:rFonts w:cs="Calibri"/>
                <w:color w:val="333333"/>
                <w:kern w:val="0"/>
                <w:sz w:val="20"/>
                <w:szCs w:val="20"/>
              </w:rPr>
              <w:t>+</w:t>
            </w:r>
            <w:r w:rsidRPr="00B161C6">
              <w:rPr>
                <w:rFonts w:ascii="宋体" w:hAnsi="宋体" w:cs="Calibri" w:hint="eastAsia"/>
                <w:color w:val="333333"/>
                <w:kern w:val="0"/>
                <w:sz w:val="20"/>
                <w:szCs w:val="20"/>
              </w:rPr>
              <w:t>教育”服务新业态。</w:t>
            </w:r>
          </w:p>
        </w:tc>
      </w:tr>
    </w:tbl>
    <w:p w:rsidR="00A97B7E" w:rsidRPr="00B161C6" w:rsidRDefault="00A97B7E" w:rsidP="00B161C6">
      <w:pPr>
        <w:widowControl/>
        <w:spacing w:line="432" w:lineRule="auto"/>
        <w:rPr>
          <w:rFonts w:cs="Calibri"/>
          <w:color w:val="333333"/>
          <w:kern w:val="0"/>
          <w:szCs w:val="21"/>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四、协调推进教育结构调整</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（一）推进区域教育协调发展。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优化教育资源区域布局。科学规划、分类指导、统筹推进东部、中部、西部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支持国家重大区域发展战略实施。推动“一带一路”建设相关省区市教育合作。加大对“一带一路”建设核心区高等教育和职业教育发展的支持力度。落实京津冀协同发展战略，探索跨行政区划的教育协同发展体制机制，推动三省市教育协同发展，有序疏解北京非首都功能。加强长江经济带教育互联互通，完善区域教育协作机制，引导高等教育、职业教育资源布局与产业由东向西梯度转移相衔接。支持国家重点改革试验区教育创新，及时总结推广试点经验并制度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（二）优化城乡基础教育布局。</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严控超大规模学校建设，有序扩大城镇学前教育、义务教育资源。城镇新建居住区配建学校、幼儿园实行“交钥匙”工程，促进学校、幼儿园与住宅项目同步规划、同步建设、同步交付使用。加强重点小城镇、城乡结合部、新建城区和城镇危旧房改造区学校建设，增加城镇义务教育学位和乡镇学校寄宿床位，到</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年基本消除</w:t>
      </w:r>
      <w:r w:rsidRPr="00B161C6">
        <w:rPr>
          <w:rFonts w:ascii="宋体" w:hAnsi="宋体" w:cs="宋体"/>
          <w:color w:val="333333"/>
          <w:kern w:val="0"/>
          <w:sz w:val="24"/>
          <w:szCs w:val="24"/>
        </w:rPr>
        <w:t>56</w:t>
      </w:r>
      <w:r w:rsidRPr="00B161C6">
        <w:rPr>
          <w:rFonts w:ascii="宋体" w:hAnsi="宋体" w:cs="宋体" w:hint="eastAsia"/>
          <w:color w:val="333333"/>
          <w:kern w:val="0"/>
          <w:sz w:val="24"/>
          <w:szCs w:val="24"/>
        </w:rPr>
        <w:t>人以上“大班额”。统筹推进县域内城乡义务教育一体化改革发展，实现常住人口基本公共教育服务全覆盖。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（三）加快发展现代职业教育。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职业学校布局结构。强化地市级人民政府对中等职业教育的统筹规划，根据城镇化和产业布局调整完善职业学校布局，根据产业发展对技术技能人才的需求优化职业教育体系结构。鼓励产业经济发达地区做好县域内中等职业学校布局规划。新增高等职业学校主要向中小城市、产业集聚区布局。在人口集中和产业发展需要的贫困地区建好一批中等职业学校，重点支持贫困地区建设好符合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的高水平职业学校，形成国家重点行业都有骨干职业学校支撑的技术技能人才培养格局，服务产业结构调整优化。</w:t>
      </w:r>
    </w:p>
    <w:p w:rsidR="00A97B7E" w:rsidRPr="00B161C6" w:rsidRDefault="00A97B7E" w:rsidP="00B161C6">
      <w:pPr>
        <w:widowControl/>
        <w:spacing w:after="240"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提升职业学校基础能力。分类制定职业学校办学标准，实施现代职业教育质量提升计划等项目，提升职业学校办学条件特别是实习实训条件和“双师型”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7</w:t>
            </w:r>
            <w:r w:rsidRPr="00B161C6">
              <w:rPr>
                <w:rFonts w:ascii="宋体" w:hAnsi="宋体" w:cs="Calibri" w:hint="eastAsia"/>
                <w:b/>
                <w:bCs/>
                <w:color w:val="333333"/>
                <w:kern w:val="0"/>
                <w:sz w:val="20"/>
                <w:szCs w:val="20"/>
              </w:rPr>
              <w:t xml:space="preserve">　高水平职业学校建设</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围绕深化产教融合、校企合作、工学结合主线，支持</w:t>
            </w:r>
            <w:r w:rsidRPr="00B161C6">
              <w:rPr>
                <w:rFonts w:cs="Calibri"/>
                <w:color w:val="333333"/>
                <w:kern w:val="0"/>
                <w:sz w:val="20"/>
                <w:szCs w:val="20"/>
              </w:rPr>
              <w:t>100</w:t>
            </w:r>
            <w:r w:rsidRPr="00B161C6">
              <w:rPr>
                <w:rFonts w:ascii="宋体" w:hAnsi="宋体" w:cs="Calibri" w:hint="eastAsia"/>
                <w:color w:val="333333"/>
                <w:kern w:val="0"/>
                <w:sz w:val="20"/>
                <w:szCs w:val="20"/>
              </w:rPr>
              <w:t>所左右高等职业学校和</w:t>
            </w:r>
            <w:r w:rsidRPr="00B161C6">
              <w:rPr>
                <w:rFonts w:cs="Calibri"/>
                <w:color w:val="333333"/>
                <w:kern w:val="0"/>
                <w:sz w:val="20"/>
                <w:szCs w:val="20"/>
              </w:rPr>
              <w:t>1000</w:t>
            </w:r>
            <w:r w:rsidRPr="00B161C6">
              <w:rPr>
                <w:rFonts w:ascii="宋体" w:hAnsi="宋体" w:cs="Calibri" w:hint="eastAsia"/>
                <w:color w:val="333333"/>
                <w:kern w:val="0"/>
                <w:sz w:val="20"/>
                <w:szCs w:val="20"/>
              </w:rPr>
              <w:t>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（四）调整高等教育结构。</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动具备条件的普通本科高校向应用型转变。推动各地开展转型发展试点，加强对改革试点的统筹指导，加快推进配套制度改革，总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十三五”末，建成一批直接为区域发展和产业振兴服务的中国特色高水平应用型高校，形成科学合理的高等教育结构。</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8</w:t>
            </w:r>
            <w:r w:rsidRPr="00B161C6">
              <w:rPr>
                <w:rFonts w:ascii="宋体" w:hAnsi="宋体" w:cs="Calibri" w:hint="eastAsia"/>
                <w:b/>
                <w:bCs/>
                <w:color w:val="333333"/>
                <w:kern w:val="0"/>
                <w:sz w:val="20"/>
                <w:szCs w:val="20"/>
              </w:rPr>
              <w:t xml:space="preserve">　应用型本科高校建设</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支持一批地方应用型本科高校建设，重点加强实验实训实习环境、平台和基地建设，鼓励吸引行业企业参与，建设产教融合、校企合作、产学研一体的实验实训实习设施，推动技术技能人才培养和应用技术创新。</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（五）大力发展继续教育。</w:t>
      </w:r>
    </w:p>
    <w:p w:rsidR="00A97B7E" w:rsidRPr="00B161C6" w:rsidRDefault="00A97B7E" w:rsidP="00B161C6">
      <w:pPr>
        <w:widowControl/>
        <w:spacing w:after="240"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构建终身教育制度。制定国家资历框架，建立个人学习账号和学分累计制度。统筹协调各相关部门，建立各类继续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学分转换为高等学校学分。探索非学历教育学习成果认定和转换，使各种非学历学习成果通过一定的标准和程序，经过高等学校和自考机构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边就业边学习等多种方式不断发展。</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9</w:t>
            </w:r>
            <w:r w:rsidRPr="00B161C6">
              <w:rPr>
                <w:rFonts w:ascii="宋体" w:hAnsi="宋体" w:cs="Calibri" w:hint="eastAsia"/>
                <w:b/>
                <w:bCs/>
                <w:color w:val="333333"/>
                <w:kern w:val="0"/>
                <w:sz w:val="20"/>
                <w:szCs w:val="20"/>
              </w:rPr>
              <w:t xml:space="preserve">　建立学分银行和信息化平台</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完善学习成果认证制度，通过部分地区率先探索、以点带面的方式，推进国家学分银行建设，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贫开发和社会生活教育的开放平台，健全遍布城乡的继续教育网络。</w:t>
      </w:r>
    </w:p>
    <w:p w:rsidR="00A97B7E" w:rsidRPr="00B161C6" w:rsidRDefault="00A97B7E" w:rsidP="00B161C6">
      <w:pPr>
        <w:widowControl/>
        <w:spacing w:after="240"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技能包”。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全民终身学习活动周”，倡导全民阅读。推进老年教育机构逐步纳入地方公共服务体系，完善老年人学习服务体系，办好老年大学，有效扩大老年教育资源供给。</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10</w:t>
            </w:r>
            <w:r w:rsidRPr="00B161C6">
              <w:rPr>
                <w:rFonts w:ascii="宋体" w:hAnsi="宋体" w:cs="Calibri" w:hint="eastAsia"/>
                <w:b/>
                <w:bCs/>
                <w:color w:val="333333"/>
                <w:kern w:val="0"/>
                <w:sz w:val="20"/>
                <w:szCs w:val="20"/>
              </w:rPr>
              <w:t xml:space="preserve">　发展继续教育</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w:t>
            </w:r>
            <w:r w:rsidRPr="00B161C6">
              <w:rPr>
                <w:rFonts w:cs="Calibri"/>
                <w:color w:val="333333"/>
                <w:kern w:val="0"/>
                <w:sz w:val="20"/>
                <w:szCs w:val="20"/>
              </w:rPr>
              <w:t>150</w:t>
            </w:r>
            <w:r w:rsidRPr="00B161C6">
              <w:rPr>
                <w:rFonts w:ascii="宋体" w:hAnsi="宋体" w:cs="Calibri" w:hint="eastAsia"/>
                <w:color w:val="333333"/>
                <w:kern w:val="0"/>
                <w:sz w:val="20"/>
                <w:szCs w:val="20"/>
              </w:rPr>
              <w:t>万名符合入学条件的农民工接受本、专科学历继续教育。</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（六）加快培养现代产业急需人才。</w:t>
      </w:r>
    </w:p>
    <w:p w:rsidR="00A97B7E" w:rsidRPr="00B161C6" w:rsidRDefault="00A97B7E" w:rsidP="00B161C6">
      <w:pPr>
        <w:widowControl/>
        <w:spacing w:after="240"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11</w:t>
            </w:r>
            <w:r w:rsidRPr="00B161C6">
              <w:rPr>
                <w:rFonts w:ascii="宋体" w:hAnsi="宋体" w:cs="Calibri" w:hint="eastAsia"/>
                <w:b/>
                <w:bCs/>
                <w:color w:val="333333"/>
                <w:kern w:val="0"/>
                <w:sz w:val="20"/>
                <w:szCs w:val="20"/>
              </w:rPr>
              <w:t xml:space="preserve">　服务现代产业的新兴学科专业集群建设</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建设一大批以校企合作为基础，集人才培养、继续教育、科研创新、科技服务于一体的专业集群，校企联合开发课程和教学资源，联合培养培训师资队伍，共建实验实训实习基地。优先在北京、上海、武汉等地建设一批集成电路实训基地，构建我国集成电路人才培养学科专业集群，加快人才培养和产业关键技术研发。</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农业科技创新、农业技术推广应用等方面的重要作用，形成与现代农业发展相适应的农业人才培养和农业技术创新推广网络。</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加快培养战略性新兴产业急需人才。面向“中国制造</w:t>
      </w:r>
      <w:r w:rsidRPr="00B161C6">
        <w:rPr>
          <w:rFonts w:ascii="宋体" w:hAnsi="宋体" w:cs="宋体"/>
          <w:color w:val="333333"/>
          <w:kern w:val="0"/>
          <w:sz w:val="24"/>
          <w:szCs w:val="24"/>
        </w:rPr>
        <w:t>2025</w:t>
      </w:r>
      <w:r w:rsidRPr="00B161C6">
        <w:rPr>
          <w:rFonts w:ascii="宋体" w:hAnsi="宋体" w:cs="宋体" w:hint="eastAsia"/>
          <w:color w:val="333333"/>
          <w:kern w:val="0"/>
          <w:sz w:val="24"/>
          <w:szCs w:val="24"/>
        </w:rPr>
        <w:t>”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互联网</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行动、大数据战略，打破传统学科、专业局限，大力发展移动互联网、云计算、大数据、物联网、智能硬件、集成电路等新兴学科专业，加快培养信息技术与产业升级、技术创新和社会服务融合发展的复合型人才。</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现代服务业和社会管理服务人才培养。完善生产性和生活性服务业人才培养体系，加快培养研发设计、知识产权、检验检测、现代物流、电子商务、金融、涉外法律、国际交流、旅游、健康、体育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五、协同营造良好育人生态</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（一）优化校园育人环境。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校园文化建设。加强和改进学校管理和课堂教学管理，严格课堂纪律、考试纪律、生活纪律，树立良好校风校纪。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校园欺凌”的有效机制，防范校园恶性安全事件。探索建立学生意外伤害援助制度，完善事故处理和涉校涉生矛盾纠纷仲裁、调解机制，依法维护学校正常教育教学秩序和师生合法权益。</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（二）改善社会育人环境。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建立政府、学校、社会、家庭全面参与的协同育人工作机制。落实政府主导责任，坚持正确的舆论导向，壮大主流思想舆论，创新和改进网上宣传，把握网络传播规律，充分利用微博、微信等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优化语言文字环境。实施国家通用语言文字普及攻坚工程。强化对社会用语用字的监督检查和教育引导。基本普及国家通用语言文字，各级各类学校国家通用语言文字普及率达到</w:t>
      </w:r>
      <w:r w:rsidRPr="00B161C6">
        <w:rPr>
          <w:rFonts w:ascii="宋体" w:hAnsi="宋体" w:cs="宋体"/>
          <w:color w:val="333333"/>
          <w:kern w:val="0"/>
          <w:sz w:val="24"/>
          <w:szCs w:val="24"/>
        </w:rPr>
        <w:t>95%</w:t>
      </w:r>
      <w:r w:rsidRPr="00B161C6">
        <w:rPr>
          <w:rFonts w:ascii="宋体" w:hAnsi="宋体" w:cs="宋体" w:hint="eastAsia"/>
          <w:color w:val="333333"/>
          <w:kern w:val="0"/>
          <w:sz w:val="24"/>
          <w:szCs w:val="24"/>
        </w:rPr>
        <w:t>，语言文字使用规范化程度全部达标。推进中国语言资源保护工程和语言文字规范标准建设。加强语言文字信息化关键技术研究与应用。推进国家手语和盲文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（三）构建教育诚信环境。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（四）建立科学评价体系。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基础教育质量综合评价改革。面向未来，明确各学段学生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构建科学的职业教育评价制度。将学习者职业道德、技术技能水平和就业创业能力作为评价的主要内容，强化实习实训环节的评价。支持行业组织开展职业学校人才培养质量评估，完善学校、行业、企业、研究机构和其他社会组织共同参与的职业教育质量评价机制。完善职业教育质量年度报告制度。鼓励企业、用人单位开展毕业生就业质量、满意度等评价。提升人才培养和行业需求的吻合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（五）建设绿色校园。</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节约型校园建设。推动在教育系统实施能效水效领跑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建设美丽校园。加强校园绿化和环境美化。完善校园环境安全标准，严格对学校土壤、水源、建筑和装修材料、教学仪器设备、体育设施器材、室内空气等的环保检测与管理，为师生提供安全、绿色、健康的教学和生活环境。</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六、统筹推动教育开放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（一）优化教育对外开放布局。</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实施共建“一带一路”教育行动。积极倡议“一带一路”沿线各国构建教育共同体，开展教育互联互通、人才培养培训、丝路合作机制建设等方面重点合作，对接沿线各国意愿，互鉴先进教育经验，共享优质教育资源。设立“丝绸之路”中国政府奖学金。加强与“一带一路”沿线国家学校学历互认、师生互换，建立更加密切的教育合作交流机制。支持有条件的高校和职业学校配合企业走出去，建立办学机构、研发机构。</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中亚</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西亚、中巴、孟中印缅、中蒙俄等重要廊道及澜湄合作机制下的区域教育合作交流。加强与有关国家语言人才培养合作，加快培养各类非通用语种人才。</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打造区域教育对外开放特色。支持东部地区整体提升教育对外开放水平，率先办出中国特色、世界水平的现代教育。加大政策倾斜力度，支持中西部地区、东北地区不断扩大教育对外开放的广度和深度。引导沿边地区利用地缘优势，推进与周边国家教育合作交流。</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12</w:t>
            </w:r>
            <w:r w:rsidRPr="00B161C6">
              <w:rPr>
                <w:rFonts w:ascii="宋体" w:hAnsi="宋体" w:cs="Calibri" w:hint="eastAsia"/>
                <w:b/>
                <w:bCs/>
                <w:color w:val="333333"/>
                <w:kern w:val="0"/>
                <w:sz w:val="20"/>
                <w:szCs w:val="20"/>
              </w:rPr>
              <w:t xml:space="preserve">　推进共建“一带一路”教育行动</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在中国政府奖学金中设立“丝绸之路”项目。对接“一带一路”沿线国家和地区，遴选一批具备一定学科专业、国际交流和人才培养、国别研究基础的高校和职业学校，建设一批“一带一路”人才培养基地，专门培养高素质复合型人才，从“一带一路”沿线国家和地区高校吸引研究相关国家经济、文化、法律等领域的专家学者来华任教，开展“一带一路”国别教育、语言文字、经济、法律、文化、政策等决策咨询研究。实施“一带一路”建设外语非通用语种人才培养专项，支持具备条件的高校开设一批外语非通用语种新专业，培养外语非通用语种人才。</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（二）提升教育开放层次和水平。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留学中国”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一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（三）积极参与全球教育治理。</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多边教育合作。推动与联合国教科文组织建立高层定期磋商机制，巩固提升合作水平。完善上海合作组织、亚太经合组织等多边教育部长会议机制，完善金砖国家教育合作机制，拓展亚太经合组织等平台的教育合作空间，以学分互认为重点，推动学生交流，深入参与相关多边教育行动。完善国际组织人才培养机制，有计划地培养推荐优秀人才到国际组织任职。</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案、配套师资培训一体化援助。结合我国对外援助项目，鼓励教师与青年学生到发展中国家参与项目建设和提供志愿者服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（四）统筹推进中外人文交流。</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办好孔子学院。坚持相互尊重、友好协商、平等互利，完善孔子学院布局。大力加强中方合作院校支撑能力建设，建立健全汉语国际教育学科体系，着力打造一支高素质院长和教师专职队伍，大力培养各国本土汉语师资。办好孔子学院院长学院、示范孔子学院、网络孔子学院，鼓励中资机构、社会组织等参与孔子学院建设，不断提升孔子学院（课堂）的办学质量和水平。深入实施“孔子新汉学计划”，深化与世界各国语言文化交流，支持各国将汉语纳入本国国民教育体系，更加广泛地学习和使用汉语。</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（五）深化内地和港澳、大陆和台湾地区教育合作交流。</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七、全面提升教育发展共享水平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（一）打赢教育脱贫攻坚战。</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全面推进教育精准扶贫、精准脱贫。对接农村贫困人口建档立卡数据库，提高教育扶贫精准度，让贫困家庭子女都能接受公平有质量的教育，阻断贫困代际传递。进一步完善贫困县的教育扶持政策，相关教育项目优先支持贫困县。鼓励地方扩大营养改善计划试点范围，中央财政给予奖补支持，实现集中连片特困地区县、国家扶贫开发工作重点县全覆盖。免除公办普通高中建档立卡等家庭经济困难学生（含非建档立卡的家庭经济困难残疾学生、农村低保家庭学生、农村特困救助供养学生）学杂费，加大对贫困家庭大学生的资助力度。继续对农村和贫困地区学生接受高等教育给予倾斜，让更多困难家庭孩子能够受到良好教育，拥有更多上升通道。</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大职业教育脱贫力度。启动实施职教圆梦行动计划，省级教育行政部门统筹协调国家示范和国家重点中职学校，选择就业好的专业，单列招生计划，针对建档立卡贫困家庭子女招生，确保至少掌握一门实用技能，提升贫困家庭自我发展的“造血”能力。实施中等职业教育协作计划，支持建档立卡贫困家庭初中毕业生到省（区、市）外经济较发达地区接受中等职业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推进定点联系滇西边境山区工作。</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13</w:t>
            </w:r>
            <w:r w:rsidRPr="00B161C6">
              <w:rPr>
                <w:rFonts w:ascii="宋体" w:hAnsi="宋体" w:cs="Calibri" w:hint="eastAsia"/>
                <w:b/>
                <w:bCs/>
                <w:color w:val="333333"/>
                <w:kern w:val="0"/>
                <w:sz w:val="20"/>
                <w:szCs w:val="20"/>
              </w:rPr>
              <w:t xml:space="preserve">　教育脱贫攻坚行动计划</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省级政府统筹学前教育资金向贫困县倾斜。支持各地</w:t>
            </w:r>
            <w:r w:rsidRPr="00B161C6">
              <w:rPr>
                <w:rFonts w:cs="Calibri"/>
                <w:color w:val="333333"/>
                <w:kern w:val="0"/>
                <w:sz w:val="20"/>
                <w:szCs w:val="20"/>
              </w:rPr>
              <w:t>2017</w:t>
            </w:r>
            <w:r w:rsidRPr="00B161C6">
              <w:rPr>
                <w:rFonts w:ascii="宋体" w:hAnsi="宋体" w:cs="Calibri" w:hint="eastAsia"/>
                <w:color w:val="333333"/>
                <w:kern w:val="0"/>
                <w:sz w:val="20"/>
                <w:szCs w:val="20"/>
              </w:rPr>
              <w:t>年底前完成贫困县全面改善农村义务教育薄弱学校基本办学条件任务。加快发展职业教育，因地制宜，分类推进，让贫困地区每个劳动者都有机会接受适应就业创业需求的职业教育和培训。实现家庭经济困难学生资助全覆盖。</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（二）促进义务教育均衡优质发展。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动县域内均衡发展。加快推进县域内城乡义务教育学校建设标准统一、教师编制标准统一、生均公用经费基准定额统一、基本装备配置标准统一和“两免一补”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确保</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年全国基本实现县域内义务教育均衡发展的基础上，推动有条件的地区实现市域内均衡发展。</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缩小区域差距。省级政府加强统筹，缩小省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巩固提高普及水平。着力提升辍学现象比较集中的农村、边远、贫困和民族地区教育质量。建立义务教育巩固率监测系统，全面落实控辍保学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（三）加快发展学前教育。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继续扩大普惠性学前教育资源，基本解决“入园难”问题。以区县为单位实施学前教育行动计划及后续行动。支持企事业单位和集体办园，扩大公办学前教育资源。完善普惠性民办幼儿园扶持政策，鼓励地方通过政府购买服务、补贴租金、培训教师等方式，加快民办普惠性幼儿园发展。发展</w:t>
      </w:r>
      <w:r w:rsidRPr="00B161C6">
        <w:rPr>
          <w:rFonts w:ascii="宋体" w:cs="宋体"/>
          <w:color w:val="333333"/>
          <w:kern w:val="0"/>
          <w:sz w:val="24"/>
          <w:szCs w:val="24"/>
        </w:rPr>
        <w:t>0</w:t>
      </w:r>
      <w:r w:rsidRPr="00B161C6">
        <w:rPr>
          <w:rFonts w:ascii="宋体" w:hAnsi="宋体" w:cs="宋体"/>
          <w:color w:val="333333"/>
          <w:kern w:val="0"/>
          <w:sz w:val="24"/>
          <w:szCs w:val="24"/>
        </w:rPr>
        <w:t>—3</w:t>
      </w:r>
      <w:r w:rsidRPr="00B161C6">
        <w:rPr>
          <w:rFonts w:ascii="宋体" w:hAnsi="宋体" w:cs="宋体" w:hint="eastAsia"/>
          <w:color w:val="333333"/>
          <w:kern w:val="0"/>
          <w:sz w:val="24"/>
          <w:szCs w:val="24"/>
        </w:rPr>
        <w:t>岁婴幼儿早期教育，探索建立以幼儿园和妇幼保健机构为依托，面向社区、指导家长的公益性婴幼儿早期教育服务模式。</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等方面的日常指导和监管，落实信息公示制度，强化社会监督。着力提升学前教育教师、保育员素质。</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（四）普及高中阶段教育。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促进普通高中多样化发展。继续支持贫困地区和民族地区普通高中建设。探索综合高中、特色高中等多种模式，促进学校特色发展，为学生提供更多选择机会。推动地方适应高考制度改革和教学改革需要，加强普通高中办学条件和师资配置，确保开齐、开足、开好相关课程。推进普通高中学生发展指导制度建设。推动地方政府制定普通高中生均拨款标准，补足公办普通高中取消“三限生”（根据限分数、限人数、限钱数政策而录取的学生）政策后的经费缺口。对已纳入存量地方政府债务清理甄别结果的普通高中债务，按照地方政府债务管理政策予以偿还。</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（五）加快发展民族教育。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加快提高民族地区教育发展水平。加快民族地区普惠性幼儿园建设，民族地区学前三年毛入园率达到</w:t>
      </w:r>
      <w:r w:rsidRPr="00B161C6">
        <w:rPr>
          <w:rFonts w:ascii="宋体" w:hAnsi="宋体" w:cs="宋体"/>
          <w:color w:val="333333"/>
          <w:kern w:val="0"/>
          <w:sz w:val="24"/>
          <w:szCs w:val="24"/>
        </w:rPr>
        <w:t>70%</w:t>
      </w:r>
      <w:r w:rsidRPr="00B161C6">
        <w:rPr>
          <w:rFonts w:ascii="宋体" w:hAnsi="宋体" w:cs="宋体" w:hint="eastAsia"/>
          <w:color w:val="333333"/>
          <w:kern w:val="0"/>
          <w:sz w:val="24"/>
          <w:szCs w:val="24"/>
        </w:rPr>
        <w:t>以上。着力提高民族地区义务教育均衡发展水平，努力消除辍学现象。加快发展符合民族地区实际的中等职业教育，继续在四省藏区推行“</w:t>
      </w:r>
      <w:r w:rsidRPr="00B161C6">
        <w:rPr>
          <w:rFonts w:ascii="宋体" w:hAnsi="宋体" w:cs="宋体"/>
          <w:color w:val="333333"/>
          <w:kern w:val="0"/>
          <w:sz w:val="24"/>
          <w:szCs w:val="24"/>
        </w:rPr>
        <w:t>9+3</w:t>
      </w:r>
      <w:r w:rsidRPr="00B161C6">
        <w:rPr>
          <w:rFonts w:ascii="宋体" w:hAnsi="宋体" w:cs="宋体" w:hint="eastAsia"/>
          <w:color w:val="333333"/>
          <w:kern w:val="0"/>
          <w:sz w:val="24"/>
          <w:szCs w:val="24"/>
        </w:rPr>
        <w:t>”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rsidR="00A97B7E" w:rsidRPr="00B161C6" w:rsidRDefault="00A97B7E" w:rsidP="00B161C6">
      <w:pPr>
        <w:widowControl/>
        <w:spacing w:after="240"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办好内地民族班。进一步加强内地民族班建设，改善办学条件。强化管理服务，探索推进混班教学、混合住宿，在内地民族班开展“走班制”等多种教学管理模式试点，促进内地民族班学生尽快融入当地学习、生活，严格考核标准，完善淘汰机制，不断提高内地民族班办学水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14</w:t>
            </w:r>
            <w:r w:rsidRPr="00B161C6">
              <w:rPr>
                <w:rFonts w:ascii="宋体" w:hAnsi="宋体" w:cs="Calibri" w:hint="eastAsia"/>
                <w:b/>
                <w:bCs/>
                <w:color w:val="333333"/>
                <w:kern w:val="0"/>
                <w:sz w:val="20"/>
                <w:szCs w:val="20"/>
              </w:rPr>
              <w:t xml:space="preserve">　支持民族教育发展</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加强双语教师培养培训，建设一批双语教师培养培训基地，通过特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（六）保障困难群体受教育权利。</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w:t>
      </w:r>
      <w:r w:rsidRPr="00B161C6">
        <w:rPr>
          <w:rFonts w:ascii="宋体" w:hAnsi="宋体" w:cs="宋体"/>
          <w:color w:val="333333"/>
          <w:kern w:val="0"/>
          <w:sz w:val="24"/>
          <w:szCs w:val="24"/>
        </w:rPr>
        <w:t>12</w:t>
      </w:r>
      <w:r w:rsidRPr="00B161C6">
        <w:rPr>
          <w:rFonts w:ascii="宋体" w:hAnsi="宋体" w:cs="宋体" w:hint="eastAsia"/>
          <w:color w:val="333333"/>
          <w:kern w:val="0"/>
          <w:sz w:val="24"/>
          <w:szCs w:val="24"/>
        </w:rPr>
        <w:t>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业技能培养，加强残疾学生专业学习、就业等方面支持保障服务，促进残疾学生更好融入社会。</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实现家庭经济困难学生资助全覆盖。健全更加精准的教育资助体系，确保应助尽助。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做好随迁子女教育工作。将进城务工人员随迁子女教育纳入城镇发展规划和财政保障范围。实行“两免一补”资金和生均公用经费基准定额资金随学生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童随父母在工作地入学。加强寄宿制学校建设，进一步改善学习生活条件，创新关爱与教育形式，加强心理辅导、法治教育和安全教育。</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（七）大力促进高校毕业生就业创业。</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互联网</w:t>
      </w:r>
      <w:r w:rsidRPr="00B161C6">
        <w:rPr>
          <w:rFonts w:ascii="宋体" w:hAnsi="宋体" w:cs="宋体"/>
          <w:color w:val="333333"/>
          <w:kern w:val="0"/>
          <w:sz w:val="24"/>
          <w:szCs w:val="24"/>
        </w:rPr>
        <w:t>+</w:t>
      </w:r>
      <w:r w:rsidRPr="00B161C6">
        <w:rPr>
          <w:rFonts w:ascii="宋体" w:hAnsi="宋体" w:cs="宋体" w:hint="eastAsia"/>
          <w:color w:val="333333"/>
          <w:kern w:val="0"/>
          <w:sz w:val="24"/>
          <w:szCs w:val="24"/>
        </w:rPr>
        <w:t>就业”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15</w:t>
            </w:r>
            <w:r w:rsidRPr="00B161C6">
              <w:rPr>
                <w:rFonts w:ascii="宋体" w:hAnsi="宋体" w:cs="Calibri" w:hint="eastAsia"/>
                <w:b/>
                <w:bCs/>
                <w:color w:val="333333"/>
                <w:kern w:val="0"/>
                <w:sz w:val="20"/>
                <w:szCs w:val="20"/>
              </w:rPr>
              <w:t xml:space="preserve">　提升基本公共教育服务能力</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一批办学条件达标的普通高中和中等职业学校，增加高中阶段教育资源。</w:t>
            </w:r>
            <w:r w:rsidRPr="00B161C6">
              <w:rPr>
                <w:rFonts w:cs="Calibri"/>
                <w:color w:val="333333"/>
                <w:kern w:val="0"/>
                <w:sz w:val="20"/>
                <w:szCs w:val="20"/>
              </w:rPr>
              <w:t>30</w:t>
            </w:r>
            <w:r w:rsidRPr="00B161C6">
              <w:rPr>
                <w:rFonts w:ascii="宋体" w:hAnsi="宋体" w:cs="Calibri" w:hint="eastAsia"/>
                <w:color w:val="333333"/>
                <w:kern w:val="0"/>
                <w:sz w:val="20"/>
                <w:szCs w:val="20"/>
              </w:rPr>
              <w:t>万人口以下未建设特殊教育学校的县可根据实际需要支持接收随班就读残疾学生较多的普通学校设立特殊教育资源教室（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八、着力加强教师队伍建设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（一）加强师德师风建设。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教师思想政治工作。创新工作手段和载体，开辟思想教育新阵地，抓好骨干教师和学科带头人培训，组织广大教师开展多种形式的社会实践活动，了解国情、社情、民情，引导广大教师带头践行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师德师风考评监督机制。将师德师风建设作为学校工作考核和教育质量督导评估的重要内容，把师德师风表现作为教师考评的首要内容，建立个人自评、学生测评、同事互评、单位考评等多种形式相结合的考核机制，构建学校、教师、学生、家长和社会多方参与的师德师风监督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风信息动态，及时纠正不良倾向和问题。</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（二）提升教师能力素质。</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进教师教育综合改革。加强教师教育体系建设，办好一批师范院校和师范专业，改进教师培养机制、模式、课程，探索建立教师教育质量监测评估制度。做好师范类专业认证试点工作。完善高校、地方政府、中小学“三位一体”的协同育人机制，加强师范生教育实践和教师教育师资队伍建设。全面推动教师教育改革创新，着力提高教师培养质量。继续实施卓越教师培养计划，扩大教育硕士招生规模，培养高层次中小学和中等职业学校教师。</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完善教师校长培训体系。落实中小学教师校长五年一周期不少于</w:t>
      </w:r>
      <w:r w:rsidRPr="00B161C6">
        <w:rPr>
          <w:rFonts w:ascii="宋体" w:hAnsi="宋体" w:cs="宋体"/>
          <w:color w:val="333333"/>
          <w:kern w:val="0"/>
          <w:sz w:val="24"/>
          <w:szCs w:val="24"/>
        </w:rPr>
        <w:t>360</w:t>
      </w:r>
      <w:r w:rsidRPr="00B161C6">
        <w:rPr>
          <w:rFonts w:ascii="宋体" w:hAnsi="宋体" w:cs="宋体" w:hint="eastAsia"/>
          <w:color w:val="333333"/>
          <w:kern w:val="0"/>
          <w:sz w:val="24"/>
          <w:szCs w:val="24"/>
        </w:rPr>
        <w:t>学时的全员培训制度，实施新一周期教师校长全员培训。建立培训学分与教师管理结合机制，构建教师校长培训学分银行，加强教师校长网络研修社区建设。加强县级教师培训机构能力建设，整合高等学校、县级教师发展中心和中小学校优质资源，建立中小学教师校长专业发展支持服务体系。加强职业学校“双师型”教师队伍建设，组织专业课教师定期参加企业实践，完善校企共建“双师型”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管理人员现代教育治理的意识和能力素养。注重专业培训，提高少先队辅导员和大学辅导员队伍工作水平。</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（三）吸引一流人才从教。</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大力引进行业企业一流人才。允许高校和职业学校设立一定比例的流动岗位，吸引具有创新实践经验的企业家、高科技人才及各类高级专业人才兼职任教。鼓励应用型高校和职业学校聘请具有实践经验的专业技术人员、高技能人才、民族民间文化传承人担任兼职教师或专业带头人。力争到</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年，应用型高校和职业学校有一大批行业企业认可的领军人才。</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建设高校一流人才队伍。加快推进人才发展体制机制改革，优化人才发展环境，充分激发人才创新创业活力。落实好“千人计划”、“万人计划”等重大人才工程，深入实施“长江学者奖励计划”。改进人才培养支持机制，大力培养引进学科领军人才、高层次科技创新人才和青年拔尖人才。实行更积极、更开放、更有效的人才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（四）优化教师资源配置。</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乡村教师队伍建设。推动省级政府建立统筹规划、统一选拔的乡村教师补充机制。逐步扩大农村教师特岗计划实施规模，鼓励地方政府和师范院校加强本土化培养，采取多种方式定向培养“一专多能”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定的教职工编制总额和岗位总量内，按照班额、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（五）完善教师管理制度。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县管校聘”管理改革，探索将行业企业从业经历作为取得职业学校专业课教师资格的必要条件，将新入职教师岗前培训和教学实习作为取得高等学校教师资格的必备条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教师职称制度。实行教师职称评审与岗位聘用相结合的办法，全面推开中小学教师职务（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p w:rsidR="00A97B7E" w:rsidRPr="00B161C6" w:rsidRDefault="00A97B7E" w:rsidP="00B161C6">
      <w:pPr>
        <w:widowControl/>
        <w:spacing w:line="432" w:lineRule="auto"/>
        <w:ind w:firstLine="480"/>
        <w:rPr>
          <w:rFonts w:ascii="宋体" w:cs="宋体"/>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22"/>
      </w:tblGrid>
      <w:tr w:rsidR="00A97B7E" w:rsidRPr="00EF0B54">
        <w:trPr>
          <w:jc w:val="center"/>
        </w:trPr>
        <w:tc>
          <w:tcPr>
            <w:tcW w:w="9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jc w:val="center"/>
              <w:rPr>
                <w:rFonts w:cs="Calibri"/>
                <w:color w:val="333333"/>
                <w:kern w:val="0"/>
                <w:szCs w:val="21"/>
              </w:rPr>
            </w:pPr>
            <w:r w:rsidRPr="00B161C6">
              <w:rPr>
                <w:rFonts w:ascii="宋体" w:hAnsi="宋体" w:cs="Calibri" w:hint="eastAsia"/>
                <w:b/>
                <w:bCs/>
                <w:color w:val="333333"/>
                <w:kern w:val="0"/>
                <w:sz w:val="20"/>
                <w:szCs w:val="20"/>
              </w:rPr>
              <w:t>专栏</w:t>
            </w:r>
            <w:r w:rsidRPr="00B161C6">
              <w:rPr>
                <w:rFonts w:cs="Calibri"/>
                <w:b/>
                <w:bCs/>
                <w:color w:val="333333"/>
                <w:kern w:val="0"/>
                <w:sz w:val="20"/>
                <w:szCs w:val="20"/>
              </w:rPr>
              <w:t>16</w:t>
            </w:r>
            <w:r w:rsidRPr="00B161C6">
              <w:rPr>
                <w:rFonts w:ascii="宋体" w:hAnsi="宋体" w:cs="Calibri" w:hint="eastAsia"/>
                <w:b/>
                <w:bCs/>
                <w:color w:val="333333"/>
                <w:kern w:val="0"/>
                <w:sz w:val="20"/>
                <w:szCs w:val="20"/>
              </w:rPr>
              <w:t xml:space="preserve">　加强教师队伍建设</w:t>
            </w:r>
          </w:p>
        </w:tc>
      </w:tr>
      <w:tr w:rsidR="00A97B7E" w:rsidRPr="00EF0B54">
        <w:trPr>
          <w:jc w:val="center"/>
        </w:trPr>
        <w:tc>
          <w:tcPr>
            <w:tcW w:w="9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B7E" w:rsidRPr="00B161C6" w:rsidRDefault="00A97B7E" w:rsidP="00B161C6">
            <w:pPr>
              <w:widowControl/>
              <w:spacing w:line="480" w:lineRule="auto"/>
              <w:rPr>
                <w:rFonts w:cs="Calibri"/>
                <w:color w:val="333333"/>
                <w:kern w:val="0"/>
                <w:szCs w:val="21"/>
              </w:rPr>
            </w:pPr>
            <w:r w:rsidRPr="00B161C6">
              <w:rPr>
                <w:rFonts w:ascii="宋体" w:hAnsi="宋体" w:cs="Calibri" w:hint="eastAsia"/>
                <w:color w:val="333333"/>
                <w:kern w:val="0"/>
                <w:sz w:val="20"/>
                <w:szCs w:val="20"/>
              </w:rPr>
              <w:t xml:space="preserve">　　落实乡村教师支持计划，努力造就一支素质优良、甘于奉献、扎根乡村的教师队伍。继续实施“国培计划”，集中支持中西部乡村教师校长培训。实施中西部中小学首席教师岗位计划，遴选师德高尚、教学水平高、带动能力强的优秀教师，组织开展教育教学研究，带动当地教师整体水平提升。建设乡村教师周转宿舍，保障农村特岗教师、支教交流教师、农村寄宿制学校管理教师等必要的住宿生活条件。加强贫困地区中等职业学校教师补充，引导地方采取多种方式定向培养。加快高校高层次人才队伍建设。</w:t>
            </w:r>
          </w:p>
        </w:tc>
      </w:tr>
    </w:tbl>
    <w:p w:rsidR="00A97B7E" w:rsidRPr="00B161C6" w:rsidRDefault="00A97B7E" w:rsidP="00B161C6">
      <w:pPr>
        <w:widowControl/>
        <w:spacing w:line="432" w:lineRule="auto"/>
        <w:ind w:firstLine="480"/>
        <w:rPr>
          <w:rFonts w:ascii="宋体" w:cs="宋体"/>
          <w:color w:val="333333"/>
          <w:kern w:val="0"/>
          <w:sz w:val="24"/>
          <w:szCs w:val="24"/>
        </w:rPr>
      </w:pP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九、加快推进教育治理现代化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（一）推进政府职能转变。</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化教育行政审批制度改革。建立教育行政权力清单和责任清单制度，全面公开教育及相关政府部门职能、法律依据、实施主体、职责权限、管理流程、监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教育智库建设，提升教育科研水平，强化教育政策储备研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（二）构建有效监管体系。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立基于大数据分析的质量监测机制。强化监管结果运用，建立公开承诺、权责一体、违者退出的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进一步完善教育督导制度。完善督政、督学、评估监测制度体系。依法健全教育督导机构，完善督学资格准入、持证履职、聘任考核、聘期管理等制度，强化教育督导队伍建设。加强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强化社会监督评价。加大信息公开力度，建立健全信息公开评议制度，推动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拓宽信息公开的途径和范围，更充分地保证人民群众教育知情权和监督权，发挥舆论监督包括互联网监督作用，运用网络了解民意、感知社会态势、畅通沟通渠道、辅助科学决策。加强对第三方教育质量评估的监督指导，培育专业教育评价机构。鼓励行业企业、专业机构和社会组织规范开展教育评价和决策咨询，大力培育专业服务机构，委托专业机构和社会组织开展评价。</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（三）全面推进依法治教。</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完善教育法律法规体系。推动修订职业教育法、残疾人教育条例，加快修订教师法、学位条例，推进学前教育法、终身学习法、学校安全条例、国家教育考试条例的研究起草工作，加快制修订教育规章。</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全面推进依法行政。加大教育行政执法力度，遵循法定职权与程序，运用行政指导、行政处罚、行政强制等手段，依法纠正学校和教育机构的违法违规行为，保障教育法律和政策有效实施。及时查处违反教育法律法规、侵害受教育者权益、扰乱教育秩序等行为，依法维护学校、学生、教师和举办者的权益。建立教育重大决策合法性审查机制、重大决策终身责任追究制度及责任倒查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（四）完善教育投入机制。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优先保障教育投入。坚持把教育作为各级人民政府财政支出重点领域给予优先保障，保证国家财政性教育经费支出占国内生产总值的比例一般不低于</w:t>
      </w:r>
      <w:r w:rsidRPr="00B161C6">
        <w:rPr>
          <w:rFonts w:ascii="宋体" w:hAnsi="宋体" w:cs="宋体"/>
          <w:color w:val="333333"/>
          <w:kern w:val="0"/>
          <w:sz w:val="24"/>
          <w:szCs w:val="24"/>
        </w:rPr>
        <w:t>4%</w:t>
      </w:r>
      <w:r w:rsidRPr="00B161C6">
        <w:rPr>
          <w:rFonts w:ascii="宋体" w:hAnsi="宋体" w:cs="宋体" w:hint="eastAsia"/>
          <w:color w:val="333333"/>
          <w:kern w:val="0"/>
          <w:sz w:val="24"/>
          <w:szCs w:val="24"/>
        </w:rPr>
        <w:t>。更加注重通过加强政策设计、制度设计、标准设计带动投入，健全保证财政教育投入持续稳定增长的长效机制，确保财政一般公共预算教育支出逐年只增不减，确保按在校学生人数平均的一般公共预算教育支出逐年只增不减。到</w:t>
      </w:r>
      <w:r w:rsidRPr="00B161C6">
        <w:rPr>
          <w:rFonts w:ascii="宋体" w:hAnsi="宋体" w:cs="宋体"/>
          <w:color w:val="333333"/>
          <w:kern w:val="0"/>
          <w:sz w:val="24"/>
          <w:szCs w:val="24"/>
        </w:rPr>
        <w:t>2020</w:t>
      </w:r>
      <w:r w:rsidRPr="00B161C6">
        <w:rPr>
          <w:rFonts w:ascii="宋体" w:hAnsi="宋体" w:cs="宋体" w:hint="eastAsia"/>
          <w:color w:val="333333"/>
          <w:kern w:val="0"/>
          <w:sz w:val="24"/>
          <w:szCs w:val="24"/>
        </w:rPr>
        <w:t>年，各省要制定和落实区域内各级教育生均财政拨款基本标准。健全教育经费统计体系，推动地方建立教育经费统计监测公告制度。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质量。规范中央对地方的教育转移支付，着力加强重点地区、关键领域和薄弱环节。落实对个人和企业捐赠教育的税收优惠政策，鼓励社会资本加大教育投入力度。</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非义务教育阶段成本分担机制。建立公办学校学费标准根据培养成本、经济发展状况和群众承受能力，按照规定程序动态调整的机制。非营利性民办学校收费，通过市场化改革试点，逐步实现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化审计结果运用。加大学校财务信息公开力度，主动接受社会监督。加强国有资产管理，盘活各类资产存量，规范资产处置行为，提高资产使用效率。</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十、加强和改进教育系统党的建设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（一）落实全面从严治党主体责任。</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党政同责、一岗双责”，强化问责追责，坚持党建工作与中心工作一起谋划、一起部署、一起考核，在机关和高校开展基层党组织书记抓基层党建工作述职评议考核，逐层传导压力，逐级落实责任。推动教育系统各级党组织把“三严三实”要求贯穿于党建工作始终，用好监督执纪“四种形态”，从严要求、管理和监督干部，把党要管党、全面从严治党落到实处。切实贯彻落实中央八项规定精神，持之以恒深入纠正“四风”问题和教育行风问题。强化党内监督，加强巡视工作和纪检监察工作。</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（二）加强教育系统思想政治建设。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深入学习贯彻习近平总书记系列重要讲话精神和治国理政新理念新思想新战略，完善“两学一做”学习教育常态化、长效化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（三）加强基层党组织和党员队伍建设。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三会一课”、民主生活会和组织生活会、党员党性分析和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（四）加强教育系统党风廉政建设。</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落实党风廉政建设主体责任和监督责任。以尊崇《中国共产党章程》为核心，以贯彻《中国共产党廉洁自律准则》、《中国共产党纪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转职能、转方式、转作风”，加大执纪审查力度，锲而不舍正风肃纪，以案说纪，加强警示教育作用。完善教育系统惩治和预防腐败体系，大力推进廉政文化进校园，推动构建不敢腐、不能腐、不想腐的有效机制，努力营造风清气正的良好政治生态。</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b/>
          <w:bCs/>
          <w:color w:val="333333"/>
          <w:kern w:val="0"/>
          <w:sz w:val="24"/>
          <w:szCs w:val="24"/>
        </w:rPr>
        <w:t>十一、组织实施</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（一）落实责任分工。</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（二）协同实施规划。</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办法，支持学校建设，参与学校管理，积极为教育发展贡献力量。充分发挥群团组织、社会组织在促进青少年健康成长等方面的积极作用。加强与新闻媒体合作，及时全面向社会传递教育改革发展的信息，引导形成社会各界和广大人民群众共同关心、支持和参与教育发展与改革的局面。</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（三）鼓励探索创新。</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楷体" w:eastAsia="楷体" w:hAnsi="楷体" w:cs="宋体" w:hint="eastAsia"/>
          <w:color w:val="333333"/>
          <w:kern w:val="0"/>
          <w:sz w:val="24"/>
          <w:szCs w:val="24"/>
        </w:rPr>
        <w:t>（四）加强督促检查。</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rsidR="00A97B7E" w:rsidRPr="00B161C6" w:rsidRDefault="00A97B7E" w:rsidP="00B161C6">
      <w:pPr>
        <w:widowControl/>
        <w:spacing w:line="432" w:lineRule="auto"/>
        <w:ind w:firstLine="480"/>
        <w:rPr>
          <w:rFonts w:ascii="宋体" w:cs="宋体"/>
          <w:color w:val="333333"/>
          <w:kern w:val="0"/>
          <w:sz w:val="24"/>
          <w:szCs w:val="24"/>
        </w:rPr>
      </w:pPr>
      <w:r w:rsidRPr="00B161C6">
        <w:rPr>
          <w:rFonts w:ascii="宋体" w:hAnsi="宋体" w:cs="宋体" w:hint="eastAsia"/>
          <w:color w:val="333333"/>
          <w:kern w:val="0"/>
          <w:sz w:val="24"/>
          <w:szCs w:val="24"/>
        </w:rPr>
        <w:t>加强社会监督。推动各级教育行政部门定期发布教育改革发展动态和规划实施情况，及时向社会公布规划实施进展状况，主动接受家长、社会、媒体的监督，将社会各界对规划的意见和建议作为规划调整的重要依据，确保规划总体目标任务如期完成。</w:t>
      </w:r>
    </w:p>
    <w:p w:rsidR="00A97B7E" w:rsidRPr="00B161C6" w:rsidRDefault="00A97B7E"/>
    <w:sectPr w:rsidR="00A97B7E" w:rsidRPr="00B161C6" w:rsidSect="005D31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ingLiU_HKSCS">
    <w:altName w:val="Malgun Gothic Semilight"/>
    <w:panose1 w:val="020205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1C6"/>
    <w:rsid w:val="000C68A2"/>
    <w:rsid w:val="005D3108"/>
    <w:rsid w:val="00A97B7E"/>
    <w:rsid w:val="00AC04BD"/>
    <w:rsid w:val="00B161C6"/>
    <w:rsid w:val="00EF0B54"/>
    <w:rsid w:val="00F200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0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58</Pages>
  <Words>6370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2017-01-20T00:01:00Z</dcterms:created>
  <dcterms:modified xsi:type="dcterms:W3CDTF">2017-02-20T07:51:00Z</dcterms:modified>
</cp:coreProperties>
</file>